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D8" w:rsidRPr="00C32A39" w:rsidRDefault="00B070D8" w:rsidP="007070C8">
      <w:pPr>
        <w:spacing w:line="276" w:lineRule="auto"/>
        <w:ind w:firstLine="540"/>
        <w:jc w:val="both"/>
        <w:rPr>
          <w:rFonts w:eastAsia="MS ??"/>
          <w:color w:val="000000"/>
        </w:rPr>
      </w:pPr>
    </w:p>
    <w:p w:rsidR="00B070D8" w:rsidRPr="00995265" w:rsidRDefault="00B070D8" w:rsidP="007070C8">
      <w:pPr>
        <w:spacing w:line="276" w:lineRule="auto"/>
        <w:ind w:left="3540" w:firstLine="540"/>
        <w:jc w:val="both"/>
        <w:rPr>
          <w:b/>
        </w:rPr>
      </w:pPr>
      <w:r w:rsidRPr="00995265">
        <w:rPr>
          <w:b/>
        </w:rPr>
        <w:t>УТВЪРДИЛ:_______________________</w:t>
      </w:r>
    </w:p>
    <w:p w:rsidR="00B070D8" w:rsidRPr="00995265" w:rsidRDefault="00B070D8" w:rsidP="00024A16">
      <w:pPr>
        <w:spacing w:line="276" w:lineRule="auto"/>
        <w:ind w:firstLine="5954"/>
        <w:jc w:val="both"/>
        <w:rPr>
          <w:b/>
        </w:rPr>
      </w:pPr>
      <w:r w:rsidRPr="00995265">
        <w:rPr>
          <w:b/>
        </w:rPr>
        <w:t>/подпис, печат/</w:t>
      </w:r>
    </w:p>
    <w:p w:rsidR="00B070D8" w:rsidRPr="00995265" w:rsidRDefault="00B070D8" w:rsidP="007070C8">
      <w:pPr>
        <w:spacing w:line="276" w:lineRule="auto"/>
        <w:ind w:left="5670" w:firstLine="540"/>
        <w:jc w:val="both"/>
        <w:rPr>
          <w:b/>
        </w:rPr>
      </w:pPr>
    </w:p>
    <w:p w:rsidR="003E52CC" w:rsidRDefault="00B070D8" w:rsidP="003E52CC">
      <w:pPr>
        <w:spacing w:line="276" w:lineRule="auto"/>
        <w:ind w:left="3540" w:firstLine="540"/>
        <w:jc w:val="both"/>
        <w:rPr>
          <w:b/>
        </w:rPr>
      </w:pPr>
      <w:r w:rsidRPr="00995265">
        <w:rPr>
          <w:b/>
        </w:rPr>
        <w:t xml:space="preserve">Проф. д-р </w:t>
      </w:r>
      <w:r w:rsidR="003E52CC">
        <w:rPr>
          <w:b/>
        </w:rPr>
        <w:t>Цветанка Бабева</w:t>
      </w:r>
      <w:r w:rsidRPr="00995265">
        <w:rPr>
          <w:b/>
        </w:rPr>
        <w:t xml:space="preserve"> –  </w:t>
      </w:r>
    </w:p>
    <w:p w:rsidR="00024A16" w:rsidRDefault="00B070D8" w:rsidP="003E52CC">
      <w:pPr>
        <w:spacing w:line="276" w:lineRule="auto"/>
        <w:ind w:left="4111" w:firstLine="4"/>
        <w:jc w:val="both"/>
        <w:rPr>
          <w:b/>
        </w:rPr>
      </w:pPr>
      <w:r w:rsidRPr="00995265">
        <w:rPr>
          <w:b/>
        </w:rPr>
        <w:t xml:space="preserve">Директор на </w:t>
      </w:r>
      <w:r w:rsidR="003E52CC">
        <w:rPr>
          <w:b/>
        </w:rPr>
        <w:t>Институт</w:t>
      </w:r>
      <w:r w:rsidRPr="00995265">
        <w:rPr>
          <w:b/>
        </w:rPr>
        <w:t xml:space="preserve"> по </w:t>
      </w:r>
      <w:r w:rsidR="003E52CC">
        <w:rPr>
          <w:b/>
        </w:rPr>
        <w:t>оптически материали</w:t>
      </w:r>
    </w:p>
    <w:p w:rsidR="00B070D8" w:rsidRPr="003E52CC" w:rsidRDefault="00024A16" w:rsidP="003E52CC">
      <w:pPr>
        <w:spacing w:line="276" w:lineRule="auto"/>
        <w:ind w:left="4111" w:firstLine="4"/>
        <w:jc w:val="both"/>
        <w:rPr>
          <w:b/>
        </w:rPr>
      </w:pPr>
      <w:r>
        <w:rPr>
          <w:b/>
        </w:rPr>
        <w:t>и</w:t>
      </w:r>
      <w:r>
        <w:rPr>
          <w:b/>
          <w:lang w:val="en-US"/>
        </w:rPr>
        <w:t xml:space="preserve"> </w:t>
      </w:r>
      <w:r>
        <w:rPr>
          <w:b/>
        </w:rPr>
        <w:t>т</w:t>
      </w:r>
      <w:r w:rsidR="003E52CC">
        <w:rPr>
          <w:b/>
        </w:rPr>
        <w:t>ехнологии</w:t>
      </w:r>
      <w:r w:rsidR="00B070D8" w:rsidRPr="00995265">
        <w:rPr>
          <w:b/>
        </w:rPr>
        <w:t xml:space="preserve"> "Акад. </w:t>
      </w:r>
      <w:r w:rsidR="003E52CC">
        <w:rPr>
          <w:b/>
        </w:rPr>
        <w:t>Йордан Малиновски</w:t>
      </w:r>
      <w:r w:rsidR="00B070D8" w:rsidRPr="00995265">
        <w:rPr>
          <w:b/>
        </w:rPr>
        <w:t>"</w:t>
      </w: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center"/>
        <w:rPr>
          <w:rFonts w:eastAsia="MS ??"/>
          <w:b/>
          <w:color w:val="000000"/>
        </w:rPr>
      </w:pPr>
      <w:r w:rsidRPr="00995265">
        <w:rPr>
          <w:rFonts w:eastAsia="MS ??"/>
          <w:b/>
          <w:color w:val="000000"/>
        </w:rPr>
        <w:t>Д О К У М Е Н Т А Ц И Я</w:t>
      </w:r>
    </w:p>
    <w:p w:rsidR="00B070D8" w:rsidRPr="00995265" w:rsidRDefault="00B070D8" w:rsidP="007070C8">
      <w:pPr>
        <w:spacing w:line="276" w:lineRule="auto"/>
        <w:ind w:firstLine="540"/>
        <w:jc w:val="center"/>
        <w:rPr>
          <w:rFonts w:eastAsia="MS ??"/>
          <w:b/>
          <w:color w:val="000000"/>
        </w:rPr>
      </w:pPr>
      <w:r w:rsidRPr="00995265">
        <w:rPr>
          <w:rFonts w:eastAsia="MS ??"/>
          <w:b/>
          <w:color w:val="000000"/>
        </w:rPr>
        <w:t>ЗА УЧАСТИЕ В ОТКРИТА ПРОЦЕДУРА ЗА ВЪЗЛАГАНЕ НА ОБЩЕСТВЕНА ПОРЪЧКА С ПРЕДМЕТ</w:t>
      </w:r>
    </w:p>
    <w:p w:rsidR="00B070D8" w:rsidRPr="00995265" w:rsidRDefault="00B070D8" w:rsidP="007070C8">
      <w:pPr>
        <w:spacing w:line="276" w:lineRule="auto"/>
        <w:ind w:firstLine="540"/>
        <w:jc w:val="center"/>
        <w:rPr>
          <w:rFonts w:eastAsia="MS ??"/>
          <w:b/>
          <w:color w:val="000000"/>
        </w:rPr>
      </w:pPr>
    </w:p>
    <w:p w:rsidR="003E52CC" w:rsidRDefault="00B070D8" w:rsidP="003E52CC">
      <w:pPr>
        <w:jc w:val="center"/>
        <w:rPr>
          <w:b/>
          <w:sz w:val="22"/>
        </w:rPr>
      </w:pPr>
      <w:r w:rsidRPr="00995265">
        <w:rPr>
          <w:b/>
          <w:sz w:val="22"/>
        </w:rPr>
        <w:t xml:space="preserve">„ДОСТАВКА, МОНТАЖ И ВЪВЕЖДАНЕ В ЕКСПЛОАТАЦИЯ НА </w:t>
      </w:r>
      <w:r>
        <w:rPr>
          <w:b/>
          <w:sz w:val="22"/>
        </w:rPr>
        <w:t xml:space="preserve"> ЛАБОРАТОРНО ОБОРУДВАНЕ</w:t>
      </w:r>
      <w:r w:rsidR="003E52CC">
        <w:rPr>
          <w:b/>
          <w:sz w:val="22"/>
        </w:rPr>
        <w:t xml:space="preserve"> В ОБОСОБЕНИ ПОЗИЦИИ, КАКТО СЛЕДВА</w:t>
      </w:r>
      <w:r>
        <w:rPr>
          <w:b/>
          <w:sz w:val="22"/>
        </w:rPr>
        <w:t xml:space="preserve">: </w:t>
      </w:r>
    </w:p>
    <w:p w:rsidR="003E52CC" w:rsidRDefault="003E52CC" w:rsidP="003E52CC">
      <w:pPr>
        <w:jc w:val="center"/>
        <w:rPr>
          <w:b/>
        </w:rPr>
      </w:pPr>
      <w:r w:rsidRPr="003E52CC">
        <w:rPr>
          <w:b/>
        </w:rPr>
        <w:t>ОБОСОБЕНА ПОЗИЦИЯ 1: СИСТЕМА ЗА ИЗРАСТВАНЕ НА КРИСТАЛИ ПО МЕТОДА НА БРИДЖМЕН</w:t>
      </w:r>
      <w:r>
        <w:rPr>
          <w:b/>
        </w:rPr>
        <w:t>;</w:t>
      </w:r>
    </w:p>
    <w:p w:rsidR="00B070D8" w:rsidRPr="00995265" w:rsidRDefault="003E52CC" w:rsidP="003E52CC">
      <w:pPr>
        <w:jc w:val="center"/>
        <w:rPr>
          <w:b/>
          <w:noProof/>
        </w:rPr>
      </w:pPr>
      <w:r w:rsidRPr="003E52CC">
        <w:rPr>
          <w:b/>
        </w:rPr>
        <w:t>ОБОСОБЕНА ПОЗИЦИЯ 2: СИСТЕМА ЗА ТРАНСФЕР НА 2D МАТЕРИАЛИ И ПОЛУЧАВАНЕ НА ХЕТЕРОСТРУКТУРИ</w:t>
      </w:r>
      <w:r w:rsidR="00B070D8">
        <w:rPr>
          <w:b/>
          <w:noProof/>
        </w:rPr>
        <w:t>“</w:t>
      </w: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Default="00B070D8"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Default="00326FEA" w:rsidP="007070C8">
      <w:pPr>
        <w:spacing w:line="276" w:lineRule="auto"/>
        <w:ind w:firstLine="540"/>
        <w:jc w:val="both"/>
        <w:rPr>
          <w:rFonts w:eastAsia="MS ??"/>
          <w:color w:val="000000"/>
        </w:rPr>
      </w:pPr>
    </w:p>
    <w:p w:rsidR="00326FEA" w:rsidRPr="00995265" w:rsidRDefault="00326FEA" w:rsidP="007070C8">
      <w:pPr>
        <w:spacing w:line="276" w:lineRule="auto"/>
        <w:ind w:firstLine="540"/>
        <w:jc w:val="both"/>
        <w:rPr>
          <w:rFonts w:eastAsia="MS ??"/>
          <w:color w:val="000000"/>
        </w:rPr>
      </w:pPr>
    </w:p>
    <w:p w:rsidR="00B070D8" w:rsidRPr="00995265" w:rsidRDefault="00B070D8" w:rsidP="007070C8">
      <w:pPr>
        <w:spacing w:line="276" w:lineRule="auto"/>
        <w:ind w:firstLine="540"/>
        <w:jc w:val="both"/>
        <w:rPr>
          <w:rFonts w:eastAsia="MS ??"/>
          <w:color w:val="000000"/>
        </w:rPr>
      </w:pPr>
    </w:p>
    <w:p w:rsidR="00B070D8" w:rsidRPr="00995265" w:rsidRDefault="00B070D8" w:rsidP="007070C8">
      <w:pPr>
        <w:spacing w:line="276" w:lineRule="auto"/>
        <w:ind w:firstLine="540"/>
        <w:jc w:val="center"/>
        <w:rPr>
          <w:rFonts w:eastAsia="MS ??"/>
          <w:b/>
          <w:color w:val="000000"/>
        </w:rPr>
      </w:pPr>
      <w:r w:rsidRPr="00995265">
        <w:rPr>
          <w:rFonts w:eastAsia="MS ??"/>
          <w:b/>
          <w:color w:val="000000"/>
        </w:rPr>
        <w:t>гр. София, 201</w:t>
      </w:r>
      <w:r>
        <w:rPr>
          <w:rFonts w:eastAsia="MS ??"/>
          <w:b/>
          <w:color w:val="000000"/>
        </w:rPr>
        <w:t>9</w:t>
      </w:r>
      <w:r w:rsidRPr="00995265">
        <w:rPr>
          <w:rFonts w:eastAsia="MS ??"/>
          <w:b/>
          <w:color w:val="000000"/>
        </w:rPr>
        <w:t xml:space="preserve"> г.</w:t>
      </w:r>
    </w:p>
    <w:p w:rsidR="00B070D8" w:rsidRPr="00995265" w:rsidRDefault="00B070D8" w:rsidP="007070C8">
      <w:pPr>
        <w:spacing w:line="276" w:lineRule="auto"/>
        <w:ind w:firstLine="540"/>
        <w:jc w:val="both"/>
        <w:rPr>
          <w:rFonts w:eastAsia="MS ??"/>
          <w:b/>
          <w:color w:val="000000"/>
        </w:rPr>
      </w:pPr>
    </w:p>
    <w:p w:rsidR="00B070D8" w:rsidRPr="00995265" w:rsidRDefault="00B070D8" w:rsidP="007070C8">
      <w:pPr>
        <w:spacing w:line="276" w:lineRule="auto"/>
        <w:ind w:firstLine="540"/>
        <w:jc w:val="both"/>
        <w:rPr>
          <w:rFonts w:eastAsia="MS ??"/>
          <w:b/>
          <w:color w:val="000000"/>
        </w:rPr>
      </w:pPr>
    </w:p>
    <w:p w:rsidR="00B070D8" w:rsidRPr="00995265" w:rsidRDefault="00B070D8" w:rsidP="007070C8">
      <w:pPr>
        <w:spacing w:line="276" w:lineRule="auto"/>
        <w:ind w:firstLine="540"/>
        <w:jc w:val="both"/>
        <w:rPr>
          <w:rFonts w:eastAsia="MS ??"/>
          <w:b/>
          <w:color w:val="000000"/>
        </w:rPr>
      </w:pPr>
    </w:p>
    <w:p w:rsidR="00B070D8" w:rsidRPr="00995265" w:rsidRDefault="00B070D8" w:rsidP="007070C8">
      <w:pPr>
        <w:spacing w:line="276" w:lineRule="auto"/>
        <w:ind w:firstLine="540"/>
        <w:jc w:val="both"/>
        <w:rPr>
          <w:rFonts w:eastAsia="MS ??"/>
          <w:b/>
          <w:color w:val="000000"/>
        </w:rPr>
      </w:pPr>
    </w:p>
    <w:p w:rsidR="00B070D8" w:rsidRPr="00995265" w:rsidRDefault="00B070D8" w:rsidP="007070C8">
      <w:pPr>
        <w:spacing w:line="276" w:lineRule="auto"/>
        <w:ind w:firstLine="540"/>
        <w:jc w:val="both"/>
        <w:rPr>
          <w:rFonts w:eastAsia="MS ??"/>
          <w:b/>
          <w:color w:val="000000"/>
        </w:rPr>
      </w:pPr>
    </w:p>
    <w:p w:rsidR="00B070D8" w:rsidRDefault="00B070D8" w:rsidP="007070C8">
      <w:pPr>
        <w:spacing w:line="276" w:lineRule="auto"/>
        <w:ind w:firstLine="540"/>
        <w:jc w:val="both"/>
        <w:rPr>
          <w:b/>
          <w:caps/>
        </w:rPr>
      </w:pPr>
    </w:p>
    <w:p w:rsidR="00B070D8" w:rsidRDefault="00B070D8" w:rsidP="007070C8">
      <w:pPr>
        <w:spacing w:line="276" w:lineRule="auto"/>
        <w:ind w:firstLine="540"/>
        <w:jc w:val="both"/>
        <w:rPr>
          <w:b/>
          <w:caps/>
        </w:rPr>
      </w:pPr>
    </w:p>
    <w:p w:rsidR="003E52CC" w:rsidRDefault="003E52CC" w:rsidP="007070C8">
      <w:pPr>
        <w:spacing w:line="276" w:lineRule="auto"/>
        <w:ind w:firstLine="540"/>
        <w:jc w:val="both"/>
        <w:rPr>
          <w:b/>
          <w:caps/>
        </w:rPr>
      </w:pPr>
    </w:p>
    <w:p w:rsidR="003E52CC" w:rsidRDefault="003E52CC" w:rsidP="007070C8">
      <w:pPr>
        <w:spacing w:line="276" w:lineRule="auto"/>
        <w:ind w:firstLine="540"/>
        <w:jc w:val="both"/>
        <w:rPr>
          <w:b/>
          <w:caps/>
        </w:rPr>
      </w:pPr>
    </w:p>
    <w:p w:rsidR="003E52CC" w:rsidRDefault="003E52CC" w:rsidP="007070C8">
      <w:pPr>
        <w:spacing w:line="276" w:lineRule="auto"/>
        <w:ind w:firstLine="540"/>
        <w:jc w:val="both"/>
        <w:rPr>
          <w:b/>
          <w:caps/>
        </w:rPr>
      </w:pPr>
    </w:p>
    <w:p w:rsidR="00B070D8" w:rsidRPr="00995265" w:rsidRDefault="00B070D8" w:rsidP="007070C8">
      <w:pPr>
        <w:spacing w:line="276" w:lineRule="auto"/>
        <w:ind w:firstLine="540"/>
        <w:jc w:val="both"/>
        <w:rPr>
          <w:b/>
          <w:caps/>
        </w:rPr>
      </w:pPr>
      <w:r w:rsidRPr="00995265">
        <w:rPr>
          <w:b/>
          <w:caps/>
        </w:rPr>
        <w:lastRenderedPageBreak/>
        <w:t>СЪДЪРЖАНИЕ:</w:t>
      </w:r>
    </w:p>
    <w:p w:rsidR="00B070D8" w:rsidRPr="00995265" w:rsidRDefault="00B070D8" w:rsidP="007070C8">
      <w:pPr>
        <w:spacing w:line="276" w:lineRule="auto"/>
        <w:ind w:firstLine="540"/>
        <w:jc w:val="both"/>
      </w:pPr>
    </w:p>
    <w:p w:rsidR="00B070D8" w:rsidRPr="00995265" w:rsidRDefault="00B070D8" w:rsidP="007070C8">
      <w:pPr>
        <w:pStyle w:val="TOCHeading"/>
        <w:spacing w:line="276" w:lineRule="auto"/>
        <w:ind w:firstLine="540"/>
        <w:rPr>
          <w:szCs w:val="24"/>
        </w:rPr>
      </w:pPr>
    </w:p>
    <w:p w:rsidR="00B070D8" w:rsidRPr="00CA152A" w:rsidRDefault="00B91E61" w:rsidP="003E52CC">
      <w:pPr>
        <w:pStyle w:val="TOC1"/>
        <w:rPr>
          <w:rFonts w:ascii="Calibri" w:eastAsia="Times New Roman" w:hAnsi="Calibri"/>
          <w:sz w:val="22"/>
          <w:lang w:eastAsia="bg-BG"/>
        </w:rPr>
      </w:pPr>
      <w:r w:rsidRPr="00995265">
        <w:fldChar w:fldCharType="begin"/>
      </w:r>
      <w:r w:rsidR="00B070D8" w:rsidRPr="00995265">
        <w:instrText xml:space="preserve"> TOC \o "1-3" \h \z \u </w:instrText>
      </w:r>
      <w:r w:rsidRPr="00995265">
        <w:fldChar w:fldCharType="separate"/>
      </w:r>
      <w:hyperlink w:anchor="_Toc3990218" w:history="1">
        <w:r w:rsidR="00B070D8" w:rsidRPr="00A12ED3">
          <w:rPr>
            <w:rStyle w:val="Hyperlink"/>
          </w:rPr>
          <w:t>РАЗДЕЛ I: ПЪЛНО ОПИСАНИЕ НА ОБЕКТА НА ОБЩЕСТВЕНАТА ПОРЪЧКА</w:t>
        </w:r>
        <w:r w:rsidR="00B070D8">
          <w:rPr>
            <w:webHidden/>
          </w:rPr>
          <w:tab/>
        </w:r>
        <w:r>
          <w:rPr>
            <w:webHidden/>
          </w:rPr>
          <w:fldChar w:fldCharType="begin"/>
        </w:r>
        <w:r w:rsidR="00B070D8">
          <w:rPr>
            <w:webHidden/>
          </w:rPr>
          <w:instrText xml:space="preserve"> PAGEREF _Toc3990218 \h </w:instrText>
        </w:r>
        <w:r>
          <w:rPr>
            <w:webHidden/>
          </w:rPr>
        </w:r>
        <w:r>
          <w:rPr>
            <w:webHidden/>
          </w:rPr>
          <w:fldChar w:fldCharType="separate"/>
        </w:r>
        <w:r w:rsidR="00B575D3">
          <w:rPr>
            <w:webHidden/>
          </w:rPr>
          <w:t>3</w:t>
        </w:r>
        <w:r>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19" w:history="1">
        <w:r w:rsidR="00B070D8" w:rsidRPr="00A12ED3">
          <w:rPr>
            <w:rStyle w:val="Hyperlink"/>
          </w:rPr>
          <w:t xml:space="preserve">РАЗДЕЛ </w:t>
        </w:r>
        <w:r w:rsidR="00B070D8" w:rsidRPr="00A12ED3">
          <w:rPr>
            <w:rStyle w:val="Hyperlink"/>
            <w:lang w:val="en-US"/>
          </w:rPr>
          <w:t>II</w:t>
        </w:r>
        <w:r w:rsidR="00B070D8" w:rsidRPr="00A12ED3">
          <w:rPr>
            <w:rStyle w:val="Hyperlink"/>
          </w:rPr>
          <w:t>. ТЕХНИЧЕСКИ И ФУНКЦИОНАЛНИ ИЗИСКВАНИЯ</w:t>
        </w:r>
        <w:r w:rsidR="00B070D8">
          <w:rPr>
            <w:webHidden/>
          </w:rPr>
          <w:tab/>
        </w:r>
        <w:r w:rsidR="00B91E61">
          <w:rPr>
            <w:webHidden/>
          </w:rPr>
          <w:fldChar w:fldCharType="begin"/>
        </w:r>
        <w:r w:rsidR="00B070D8">
          <w:rPr>
            <w:webHidden/>
          </w:rPr>
          <w:instrText xml:space="preserve"> PAGEREF _Toc3990219 \h </w:instrText>
        </w:r>
        <w:r w:rsidR="00B91E61">
          <w:rPr>
            <w:webHidden/>
          </w:rPr>
        </w:r>
        <w:r w:rsidR="00B91E61">
          <w:rPr>
            <w:webHidden/>
          </w:rPr>
          <w:fldChar w:fldCharType="separate"/>
        </w:r>
        <w:r w:rsidR="00B575D3">
          <w:rPr>
            <w:webHidden/>
          </w:rPr>
          <w:t>5</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0" w:history="1">
        <w:r w:rsidR="00B070D8" w:rsidRPr="00A12ED3">
          <w:rPr>
            <w:rStyle w:val="Hyperlink"/>
          </w:rPr>
          <w:t>РАЗДЕЛ III. ИЗИСКВАНИЯ КЪМ ЛИЧНОТО СЪСТОЯНИЕ НА УЧАСТНИЦИТЕ В ОБЩЕСТВЕНАТА ПОРЪЧКА</w:t>
        </w:r>
        <w:r w:rsidR="00B070D8">
          <w:rPr>
            <w:webHidden/>
          </w:rPr>
          <w:tab/>
        </w:r>
        <w:r w:rsidR="00B91E61">
          <w:rPr>
            <w:webHidden/>
          </w:rPr>
          <w:fldChar w:fldCharType="begin"/>
        </w:r>
        <w:r w:rsidR="00B070D8">
          <w:rPr>
            <w:webHidden/>
          </w:rPr>
          <w:instrText xml:space="preserve"> PAGEREF _Toc3990220 \h </w:instrText>
        </w:r>
        <w:r w:rsidR="00B91E61">
          <w:rPr>
            <w:webHidden/>
          </w:rPr>
        </w:r>
        <w:r w:rsidR="00B91E61">
          <w:rPr>
            <w:webHidden/>
          </w:rPr>
          <w:fldChar w:fldCharType="separate"/>
        </w:r>
        <w:r w:rsidR="00B575D3">
          <w:rPr>
            <w:webHidden/>
          </w:rPr>
          <w:t>6</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1" w:history="1">
        <w:r w:rsidR="00B070D8" w:rsidRPr="00A12ED3">
          <w:rPr>
            <w:rStyle w:val="Hyperlink"/>
          </w:rPr>
          <w:t xml:space="preserve">РАЗДЕЛ </w:t>
        </w:r>
        <w:r w:rsidR="00B070D8" w:rsidRPr="00A12ED3">
          <w:rPr>
            <w:rStyle w:val="Hyperlink"/>
            <w:lang w:val="en-US"/>
          </w:rPr>
          <w:t>IV</w:t>
        </w:r>
        <w:r w:rsidR="00B070D8" w:rsidRPr="00A12ED3">
          <w:rPr>
            <w:rStyle w:val="Hyperlink"/>
          </w:rPr>
          <w:t>. КРИТЕРИИ ЗА ПОДБОР</w:t>
        </w:r>
        <w:r w:rsidR="00B070D8">
          <w:rPr>
            <w:webHidden/>
          </w:rPr>
          <w:tab/>
        </w:r>
        <w:r w:rsidR="00B91E61">
          <w:rPr>
            <w:webHidden/>
          </w:rPr>
          <w:fldChar w:fldCharType="begin"/>
        </w:r>
        <w:r w:rsidR="00B070D8">
          <w:rPr>
            <w:webHidden/>
          </w:rPr>
          <w:instrText xml:space="preserve"> PAGEREF _Toc3990221 \h </w:instrText>
        </w:r>
        <w:r w:rsidR="00B91E61">
          <w:rPr>
            <w:webHidden/>
          </w:rPr>
        </w:r>
        <w:r w:rsidR="00B91E61">
          <w:rPr>
            <w:webHidden/>
          </w:rPr>
          <w:fldChar w:fldCharType="separate"/>
        </w:r>
        <w:r w:rsidR="00B575D3">
          <w:rPr>
            <w:webHidden/>
          </w:rPr>
          <w:t>12</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2" w:history="1">
        <w:r w:rsidR="00B070D8" w:rsidRPr="00A12ED3">
          <w:rPr>
            <w:rStyle w:val="Hyperlink"/>
          </w:rPr>
          <w:t>РАЗДЕЛ V. КРИТЕРИИ ЗА ВЪЗЛАГАНЕ НА ПОРЪЧКАТА</w:t>
        </w:r>
        <w:r w:rsidR="00B070D8">
          <w:rPr>
            <w:webHidden/>
          </w:rPr>
          <w:tab/>
        </w:r>
        <w:r w:rsidR="00B91E61">
          <w:rPr>
            <w:webHidden/>
          </w:rPr>
          <w:fldChar w:fldCharType="begin"/>
        </w:r>
        <w:r w:rsidR="00B070D8">
          <w:rPr>
            <w:webHidden/>
          </w:rPr>
          <w:instrText xml:space="preserve"> PAGEREF _Toc3990222 \h </w:instrText>
        </w:r>
        <w:r w:rsidR="00B91E61">
          <w:rPr>
            <w:webHidden/>
          </w:rPr>
        </w:r>
        <w:r w:rsidR="00B91E61">
          <w:rPr>
            <w:webHidden/>
          </w:rPr>
          <w:fldChar w:fldCharType="separate"/>
        </w:r>
        <w:r w:rsidR="00B575D3">
          <w:rPr>
            <w:webHidden/>
          </w:rPr>
          <w:t>13</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3" w:history="1">
        <w:r w:rsidR="00B070D8" w:rsidRPr="00A12ED3">
          <w:rPr>
            <w:rStyle w:val="Hyperlink"/>
          </w:rPr>
          <w:t xml:space="preserve">РАЗДЕЛ VI. УКАЗАНИЯ ЗА ПОДГОТОВКА НА ОФЕРТАТА И </w:t>
        </w:r>
        <w:r w:rsidR="00B070D8" w:rsidRPr="00A12ED3">
          <w:rPr>
            <w:rStyle w:val="Hyperlink"/>
            <w:bCs/>
          </w:rPr>
          <w:t>СЪДЪРЖАНИЕ</w:t>
        </w:r>
        <w:r w:rsidR="00B070D8">
          <w:rPr>
            <w:webHidden/>
          </w:rPr>
          <w:tab/>
        </w:r>
        <w:r w:rsidR="00B91E61">
          <w:rPr>
            <w:webHidden/>
          </w:rPr>
          <w:fldChar w:fldCharType="begin"/>
        </w:r>
        <w:r w:rsidR="00B070D8">
          <w:rPr>
            <w:webHidden/>
          </w:rPr>
          <w:instrText xml:space="preserve"> PAGEREF _Toc3990223 \h </w:instrText>
        </w:r>
        <w:r w:rsidR="00B91E61">
          <w:rPr>
            <w:webHidden/>
          </w:rPr>
        </w:r>
        <w:r w:rsidR="00B91E61">
          <w:rPr>
            <w:webHidden/>
          </w:rPr>
          <w:fldChar w:fldCharType="separate"/>
        </w:r>
        <w:r w:rsidR="00B575D3">
          <w:rPr>
            <w:webHidden/>
          </w:rPr>
          <w:t>16</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4" w:history="1">
        <w:r w:rsidR="00B070D8" w:rsidRPr="00A12ED3">
          <w:rPr>
            <w:rStyle w:val="Hyperlink"/>
            <w:bCs/>
          </w:rPr>
          <w:t xml:space="preserve">РАЗДЕЛ VII. </w:t>
        </w:r>
        <w:r w:rsidR="00B070D8" w:rsidRPr="00A12ED3">
          <w:rPr>
            <w:rStyle w:val="Hyperlink"/>
          </w:rPr>
          <w:t>ГАРАНЦИИ ЗА ИЗПЪЛНЕНИЕ НА ДОГОВОРА И ОБЕЗПЕЧЕНИЯ</w:t>
        </w:r>
        <w:r w:rsidR="00B070D8">
          <w:rPr>
            <w:webHidden/>
          </w:rPr>
          <w:tab/>
        </w:r>
        <w:r w:rsidR="00B91E61">
          <w:rPr>
            <w:webHidden/>
          </w:rPr>
          <w:fldChar w:fldCharType="begin"/>
        </w:r>
        <w:r w:rsidR="00B070D8">
          <w:rPr>
            <w:webHidden/>
          </w:rPr>
          <w:instrText xml:space="preserve"> PAGEREF _Toc3990224 \h </w:instrText>
        </w:r>
        <w:r w:rsidR="00B91E61">
          <w:rPr>
            <w:webHidden/>
          </w:rPr>
        </w:r>
        <w:r w:rsidR="00B91E61">
          <w:rPr>
            <w:webHidden/>
          </w:rPr>
          <w:fldChar w:fldCharType="separate"/>
        </w:r>
        <w:r w:rsidR="00B575D3">
          <w:rPr>
            <w:webHidden/>
          </w:rPr>
          <w:t>19</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25" w:history="1">
        <w:r w:rsidR="00B070D8" w:rsidRPr="00A12ED3">
          <w:rPr>
            <w:rStyle w:val="Hyperlink"/>
          </w:rPr>
          <w:t xml:space="preserve">РАЗДЕЛ </w:t>
        </w:r>
        <w:r w:rsidR="00B070D8" w:rsidRPr="00A12ED3">
          <w:rPr>
            <w:rStyle w:val="Hyperlink"/>
            <w:lang w:val="en-US"/>
          </w:rPr>
          <w:t>VIII</w:t>
        </w:r>
        <w:r w:rsidR="00B070D8" w:rsidRPr="00A12ED3">
          <w:rPr>
            <w:rStyle w:val="Hyperlink"/>
          </w:rPr>
          <w:t>. РАЗГЛЕЖДАНЕ, ОЦЕНЯВАНЕ И КЛАСИРАНЕ НА ОФЕРТИТЕ</w:t>
        </w:r>
        <w:r w:rsidR="00B070D8">
          <w:rPr>
            <w:webHidden/>
          </w:rPr>
          <w:tab/>
        </w:r>
        <w:r w:rsidR="00B91E61">
          <w:rPr>
            <w:webHidden/>
          </w:rPr>
          <w:fldChar w:fldCharType="begin"/>
        </w:r>
        <w:r w:rsidR="00B070D8">
          <w:rPr>
            <w:webHidden/>
          </w:rPr>
          <w:instrText xml:space="preserve"> PAGEREF _Toc3990225 \h </w:instrText>
        </w:r>
        <w:r w:rsidR="00B91E61">
          <w:rPr>
            <w:webHidden/>
          </w:rPr>
        </w:r>
        <w:r w:rsidR="00B91E61">
          <w:rPr>
            <w:webHidden/>
          </w:rPr>
          <w:fldChar w:fldCharType="separate"/>
        </w:r>
        <w:r w:rsidR="00B575D3">
          <w:rPr>
            <w:webHidden/>
          </w:rPr>
          <w:t>21</w:t>
        </w:r>
        <w:r w:rsidR="00B91E61">
          <w:rPr>
            <w:webHidden/>
          </w:rPr>
          <w:fldChar w:fldCharType="end"/>
        </w:r>
      </w:hyperlink>
    </w:p>
    <w:p w:rsidR="00B070D8" w:rsidRPr="00CA152A" w:rsidRDefault="00DD503A" w:rsidP="003E52CC">
      <w:pPr>
        <w:pStyle w:val="TOC1"/>
        <w:rPr>
          <w:rFonts w:ascii="Calibri" w:hAnsi="Calibri"/>
          <w:sz w:val="22"/>
          <w:lang w:eastAsia="bg-BG"/>
        </w:rPr>
      </w:pPr>
      <w:hyperlink w:anchor="_Toc3990233" w:history="1">
        <w:r w:rsidR="00B070D8" w:rsidRPr="00CA152A">
          <w:rPr>
            <w:rStyle w:val="Hyperlink"/>
            <w:rFonts w:eastAsia="Times New Roman"/>
            <w:bCs/>
          </w:rPr>
          <w:t>РАЗДЕЛ ХIХ. ОПРЕДЕЛЯНЕ НА ИЗПЪЛНИТЕЛ НА ОБЩЕСТВЕНАТА ПОРЪЧКА. ПРЕКРАТЯВАНЕ НА ПРОЦЕДУРАТА.</w:t>
        </w:r>
        <w:r w:rsidR="00B070D8">
          <w:rPr>
            <w:webHidden/>
          </w:rPr>
          <w:tab/>
        </w:r>
        <w:r w:rsidR="00B91E61">
          <w:rPr>
            <w:webHidden/>
          </w:rPr>
          <w:fldChar w:fldCharType="begin"/>
        </w:r>
        <w:r w:rsidR="00B070D8">
          <w:rPr>
            <w:webHidden/>
          </w:rPr>
          <w:instrText xml:space="preserve"> PAGEREF _Toc3990233 \h </w:instrText>
        </w:r>
        <w:r w:rsidR="00B91E61">
          <w:rPr>
            <w:webHidden/>
          </w:rPr>
        </w:r>
        <w:r w:rsidR="00B91E61">
          <w:rPr>
            <w:webHidden/>
          </w:rPr>
          <w:fldChar w:fldCharType="separate"/>
        </w:r>
        <w:r w:rsidR="00B575D3">
          <w:rPr>
            <w:webHidden/>
          </w:rPr>
          <w:t>21</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34" w:history="1">
        <w:r w:rsidR="00B070D8" w:rsidRPr="00CA152A">
          <w:rPr>
            <w:rStyle w:val="Hyperlink"/>
            <w:rFonts w:eastAsia="Times New Roman"/>
            <w:bCs/>
          </w:rPr>
          <w:t>РАЗДЕЛ Х. СКЛЮЧВАНЕ НА ДОГОВОР</w:t>
        </w:r>
        <w:r w:rsidR="00B070D8">
          <w:rPr>
            <w:webHidden/>
          </w:rPr>
          <w:tab/>
        </w:r>
        <w:r w:rsidR="00B91E61">
          <w:rPr>
            <w:webHidden/>
          </w:rPr>
          <w:fldChar w:fldCharType="begin"/>
        </w:r>
        <w:r w:rsidR="00B070D8">
          <w:rPr>
            <w:webHidden/>
          </w:rPr>
          <w:instrText xml:space="preserve"> PAGEREF _Toc3990234 \h </w:instrText>
        </w:r>
        <w:r w:rsidR="00B91E61">
          <w:rPr>
            <w:webHidden/>
          </w:rPr>
        </w:r>
        <w:r w:rsidR="00B91E61">
          <w:rPr>
            <w:webHidden/>
          </w:rPr>
          <w:fldChar w:fldCharType="separate"/>
        </w:r>
        <w:r w:rsidR="00B575D3">
          <w:rPr>
            <w:webHidden/>
          </w:rPr>
          <w:t>22</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39" w:history="1">
        <w:r w:rsidR="00B070D8" w:rsidRPr="00CA152A">
          <w:rPr>
            <w:rStyle w:val="Hyperlink"/>
            <w:rFonts w:eastAsia="Times New Roman"/>
            <w:bCs/>
          </w:rPr>
          <w:t>РАЗДЕЛ XI. КОМУНИКАЦИЯ МЕЖДУ ВЪЗЛОЖИТЕЛЯ И УЧАСТНИЦИТЕ</w:t>
        </w:r>
        <w:r w:rsidR="00B070D8">
          <w:rPr>
            <w:webHidden/>
          </w:rPr>
          <w:tab/>
        </w:r>
        <w:r w:rsidR="00B91E61">
          <w:rPr>
            <w:webHidden/>
          </w:rPr>
          <w:fldChar w:fldCharType="begin"/>
        </w:r>
        <w:r w:rsidR="00B070D8">
          <w:rPr>
            <w:webHidden/>
          </w:rPr>
          <w:instrText xml:space="preserve"> PAGEREF _Toc3990239 \h </w:instrText>
        </w:r>
        <w:r w:rsidR="00B91E61">
          <w:rPr>
            <w:webHidden/>
          </w:rPr>
        </w:r>
        <w:r w:rsidR="00B91E61">
          <w:rPr>
            <w:webHidden/>
          </w:rPr>
          <w:fldChar w:fldCharType="separate"/>
        </w:r>
        <w:r w:rsidR="00B575D3">
          <w:rPr>
            <w:webHidden/>
          </w:rPr>
          <w:t>23</w:t>
        </w:r>
        <w:r w:rsidR="00B91E61">
          <w:rPr>
            <w:webHidden/>
          </w:rPr>
          <w:fldChar w:fldCharType="end"/>
        </w:r>
      </w:hyperlink>
    </w:p>
    <w:p w:rsidR="00B070D8" w:rsidRPr="00CA152A" w:rsidRDefault="00DD503A" w:rsidP="003E52CC">
      <w:pPr>
        <w:pStyle w:val="TOC1"/>
        <w:rPr>
          <w:rFonts w:ascii="Calibri" w:eastAsia="Times New Roman" w:hAnsi="Calibri"/>
          <w:sz w:val="22"/>
          <w:lang w:eastAsia="bg-BG"/>
        </w:rPr>
      </w:pPr>
      <w:hyperlink w:anchor="_Toc3990240" w:history="1">
        <w:r w:rsidR="00B070D8" w:rsidRPr="00CA152A">
          <w:rPr>
            <w:rStyle w:val="Hyperlink"/>
            <w:rFonts w:eastAsia="Times New Roman"/>
            <w:bCs/>
          </w:rPr>
          <w:t>РАЗДЕЛ ХІІ. ОБРАЗЦИ НА ДОКУМЕНТИ</w:t>
        </w:r>
        <w:r w:rsidR="00B070D8">
          <w:rPr>
            <w:webHidden/>
          </w:rPr>
          <w:tab/>
        </w:r>
        <w:r w:rsidR="00B91E61">
          <w:rPr>
            <w:webHidden/>
          </w:rPr>
          <w:fldChar w:fldCharType="begin"/>
        </w:r>
        <w:r w:rsidR="00B070D8">
          <w:rPr>
            <w:webHidden/>
          </w:rPr>
          <w:instrText xml:space="preserve"> PAGEREF _Toc3990240 \h </w:instrText>
        </w:r>
        <w:r w:rsidR="00B91E61">
          <w:rPr>
            <w:webHidden/>
          </w:rPr>
        </w:r>
        <w:r w:rsidR="00B91E61">
          <w:rPr>
            <w:webHidden/>
          </w:rPr>
          <w:fldChar w:fldCharType="separate"/>
        </w:r>
        <w:r w:rsidR="00B575D3">
          <w:rPr>
            <w:webHidden/>
          </w:rPr>
          <w:t>23</w:t>
        </w:r>
        <w:r w:rsidR="00B91E61">
          <w:rPr>
            <w:webHidden/>
          </w:rPr>
          <w:fldChar w:fldCharType="end"/>
        </w:r>
      </w:hyperlink>
    </w:p>
    <w:p w:rsidR="00B070D8" w:rsidRPr="00995265" w:rsidRDefault="00B91E61" w:rsidP="007070C8">
      <w:pPr>
        <w:spacing w:line="276" w:lineRule="auto"/>
        <w:ind w:firstLine="540"/>
        <w:jc w:val="both"/>
      </w:pPr>
      <w:r w:rsidRPr="00995265">
        <w:rPr>
          <w:b/>
          <w:bCs/>
          <w:noProof/>
        </w:rPr>
        <w:fldChar w:fldCharType="end"/>
      </w: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pPr>
    </w:p>
    <w:p w:rsidR="00B070D8" w:rsidRDefault="00B070D8" w:rsidP="007070C8">
      <w:pPr>
        <w:spacing w:line="276" w:lineRule="auto"/>
        <w:ind w:firstLine="540"/>
        <w:jc w:val="both"/>
      </w:pPr>
    </w:p>
    <w:p w:rsidR="00B070D8" w:rsidRDefault="00B070D8" w:rsidP="007070C8">
      <w:pPr>
        <w:spacing w:line="276" w:lineRule="auto"/>
        <w:ind w:firstLine="540"/>
        <w:jc w:val="both"/>
      </w:pPr>
    </w:p>
    <w:p w:rsidR="00B070D8" w:rsidRDefault="00B070D8" w:rsidP="007070C8">
      <w:pPr>
        <w:spacing w:line="276" w:lineRule="auto"/>
        <w:ind w:firstLine="540"/>
        <w:jc w:val="both"/>
      </w:pPr>
    </w:p>
    <w:p w:rsidR="00B070D8" w:rsidRDefault="00B070D8" w:rsidP="007070C8">
      <w:pPr>
        <w:spacing w:line="276" w:lineRule="auto"/>
        <w:ind w:firstLine="540"/>
        <w:jc w:val="both"/>
      </w:pPr>
    </w:p>
    <w:p w:rsidR="00326FEA" w:rsidRDefault="00326FEA" w:rsidP="007070C8">
      <w:pPr>
        <w:spacing w:line="276" w:lineRule="auto"/>
        <w:ind w:firstLine="540"/>
        <w:jc w:val="both"/>
      </w:pPr>
    </w:p>
    <w:p w:rsidR="00326FEA" w:rsidRDefault="00326FEA" w:rsidP="007070C8">
      <w:pPr>
        <w:spacing w:line="276" w:lineRule="auto"/>
        <w:ind w:firstLine="540"/>
        <w:jc w:val="both"/>
      </w:pPr>
    </w:p>
    <w:p w:rsidR="00326FEA" w:rsidRDefault="00326FEA" w:rsidP="007070C8">
      <w:pPr>
        <w:spacing w:line="276" w:lineRule="auto"/>
        <w:ind w:firstLine="540"/>
        <w:jc w:val="both"/>
      </w:pPr>
    </w:p>
    <w:p w:rsidR="00326FEA" w:rsidRDefault="00326FEA" w:rsidP="007070C8">
      <w:pPr>
        <w:spacing w:line="276" w:lineRule="auto"/>
        <w:ind w:firstLine="540"/>
        <w:jc w:val="both"/>
      </w:pPr>
    </w:p>
    <w:p w:rsidR="00326FEA" w:rsidRDefault="00326FEA" w:rsidP="007070C8">
      <w:pPr>
        <w:spacing w:line="276" w:lineRule="auto"/>
        <w:ind w:firstLine="540"/>
        <w:jc w:val="both"/>
      </w:pPr>
    </w:p>
    <w:p w:rsidR="00B070D8" w:rsidRDefault="00B070D8" w:rsidP="007070C8">
      <w:pPr>
        <w:spacing w:line="276" w:lineRule="auto"/>
        <w:ind w:firstLine="540"/>
        <w:jc w:val="both"/>
      </w:pPr>
    </w:p>
    <w:p w:rsidR="00B070D8" w:rsidRDefault="00B070D8" w:rsidP="007070C8">
      <w:pPr>
        <w:spacing w:line="276" w:lineRule="auto"/>
        <w:ind w:firstLine="540"/>
        <w:jc w:val="both"/>
      </w:pPr>
    </w:p>
    <w:p w:rsidR="00237108" w:rsidRDefault="00237108" w:rsidP="007070C8">
      <w:pPr>
        <w:spacing w:line="276" w:lineRule="auto"/>
        <w:ind w:firstLine="540"/>
        <w:jc w:val="both"/>
      </w:pPr>
    </w:p>
    <w:p w:rsidR="00237108" w:rsidRDefault="00237108" w:rsidP="007070C8">
      <w:pPr>
        <w:spacing w:line="276" w:lineRule="auto"/>
        <w:ind w:firstLine="540"/>
        <w:jc w:val="both"/>
      </w:pPr>
    </w:p>
    <w:p w:rsidR="00237108" w:rsidRPr="00995265" w:rsidRDefault="00237108" w:rsidP="007070C8">
      <w:pPr>
        <w:spacing w:line="276" w:lineRule="auto"/>
        <w:ind w:firstLine="540"/>
        <w:jc w:val="both"/>
      </w:pPr>
    </w:p>
    <w:p w:rsidR="00B070D8" w:rsidRPr="00995265" w:rsidRDefault="00B070D8" w:rsidP="007070C8">
      <w:pPr>
        <w:spacing w:line="276" w:lineRule="auto"/>
        <w:ind w:firstLine="540"/>
        <w:jc w:val="both"/>
      </w:pPr>
    </w:p>
    <w:p w:rsidR="00B070D8" w:rsidRPr="00995265" w:rsidRDefault="00B070D8" w:rsidP="007070C8">
      <w:pPr>
        <w:pStyle w:val="Heading1"/>
        <w:spacing w:line="276" w:lineRule="auto"/>
        <w:ind w:firstLine="540"/>
        <w:jc w:val="both"/>
        <w:rPr>
          <w:rFonts w:eastAsia="Calibri"/>
          <w:szCs w:val="24"/>
        </w:rPr>
      </w:pPr>
      <w:bookmarkStart w:id="0" w:name="_Toc411430881"/>
      <w:bookmarkStart w:id="1" w:name="_Toc424819526"/>
      <w:bookmarkStart w:id="2" w:name="_Toc445987074"/>
      <w:bookmarkStart w:id="3" w:name="_Toc455401068"/>
      <w:bookmarkStart w:id="4" w:name="_Toc463877353"/>
      <w:bookmarkStart w:id="5" w:name="_Toc465700361"/>
      <w:bookmarkStart w:id="6" w:name="_Toc470107486"/>
      <w:bookmarkStart w:id="7" w:name="_Toc470683301"/>
      <w:bookmarkStart w:id="8" w:name="_Toc486429983"/>
      <w:bookmarkStart w:id="9" w:name="_Toc496542667"/>
      <w:r w:rsidRPr="00995265">
        <w:rPr>
          <w:rFonts w:eastAsia="Calibri"/>
          <w:szCs w:val="24"/>
        </w:rPr>
        <w:lastRenderedPageBreak/>
        <w:tab/>
      </w:r>
      <w:bookmarkStart w:id="10" w:name="_Toc3990218"/>
      <w:r w:rsidRPr="00995265">
        <w:rPr>
          <w:rFonts w:eastAsia="Calibri"/>
        </w:rPr>
        <w:t>РАЗДЕЛ I: ПЪЛНО ОПИСАНИЕ НА ОБЕКТА НА ОБЩЕСТВЕНАТА</w:t>
      </w:r>
      <w:r w:rsidRPr="00995265">
        <w:rPr>
          <w:rFonts w:eastAsia="Calibri"/>
          <w:szCs w:val="24"/>
        </w:rPr>
        <w:t xml:space="preserve"> ПОРЪЧКА</w:t>
      </w:r>
      <w:bookmarkEnd w:id="0"/>
      <w:bookmarkEnd w:id="1"/>
      <w:bookmarkEnd w:id="2"/>
      <w:bookmarkEnd w:id="3"/>
      <w:bookmarkEnd w:id="4"/>
      <w:bookmarkEnd w:id="5"/>
      <w:bookmarkEnd w:id="6"/>
      <w:bookmarkEnd w:id="7"/>
      <w:bookmarkEnd w:id="8"/>
      <w:bookmarkEnd w:id="9"/>
      <w:bookmarkEnd w:id="10"/>
    </w:p>
    <w:p w:rsidR="00B070D8" w:rsidRPr="00995265" w:rsidRDefault="00B070D8" w:rsidP="007070C8">
      <w:pPr>
        <w:spacing w:line="276" w:lineRule="auto"/>
        <w:ind w:firstLine="540"/>
        <w:jc w:val="both"/>
        <w:rPr>
          <w:b/>
          <w:lang w:eastAsia="sr-Cyrl-CS"/>
        </w:rPr>
      </w:pPr>
    </w:p>
    <w:p w:rsidR="00B070D8" w:rsidRPr="00995265" w:rsidRDefault="00B070D8" w:rsidP="007070C8">
      <w:pPr>
        <w:spacing w:line="276" w:lineRule="auto"/>
        <w:ind w:firstLine="540"/>
        <w:jc w:val="both"/>
        <w:rPr>
          <w:b/>
          <w:lang w:eastAsia="sr-Cyrl-CS"/>
        </w:rPr>
      </w:pPr>
      <w:r w:rsidRPr="00995265">
        <w:rPr>
          <w:b/>
          <w:lang w:eastAsia="sr-Cyrl-CS"/>
        </w:rPr>
        <w:tab/>
        <w:t>Настоящата обществена поръчка се открива на основание чл. 73, ал.1 във връзка с чл.18, ал.1, т.1 от ЗОП – открита процедура по ЗОП.</w:t>
      </w:r>
    </w:p>
    <w:p w:rsidR="00B070D8" w:rsidRPr="00995265" w:rsidRDefault="00B070D8" w:rsidP="007070C8">
      <w:pPr>
        <w:spacing w:line="276" w:lineRule="auto"/>
        <w:ind w:firstLine="540"/>
        <w:jc w:val="both"/>
        <w:rPr>
          <w:b/>
          <w:bCs/>
          <w:lang w:eastAsia="sr-Cyrl-CS"/>
        </w:rPr>
      </w:pPr>
    </w:p>
    <w:p w:rsidR="00B070D8" w:rsidRPr="00995265" w:rsidRDefault="00B070D8" w:rsidP="007070C8">
      <w:pPr>
        <w:numPr>
          <w:ilvl w:val="0"/>
          <w:numId w:val="12"/>
        </w:numPr>
        <w:spacing w:line="276" w:lineRule="auto"/>
        <w:ind w:firstLine="540"/>
        <w:jc w:val="both"/>
        <w:rPr>
          <w:b/>
          <w:bCs/>
          <w:color w:val="000000"/>
          <w:lang w:eastAsia="sr-Cyrl-CS"/>
        </w:rPr>
      </w:pPr>
      <w:r w:rsidRPr="00995265">
        <w:rPr>
          <w:b/>
          <w:bCs/>
          <w:color w:val="000000"/>
          <w:lang w:eastAsia="sr-Cyrl-CS"/>
        </w:rPr>
        <w:t>Предмет на поръчката</w:t>
      </w:r>
    </w:p>
    <w:p w:rsidR="00647F45" w:rsidRPr="000C3E05" w:rsidRDefault="00B070D8" w:rsidP="00237108">
      <w:pPr>
        <w:jc w:val="both"/>
        <w:rPr>
          <w:rFonts w:eastAsia="PMingLiU"/>
          <w:snapToGrid w:val="0"/>
          <w:color w:val="FF0000"/>
          <w:lang w:val="en-US"/>
        </w:rPr>
      </w:pPr>
      <w:r w:rsidRPr="00995265">
        <w:rPr>
          <w:b/>
          <w:bCs/>
          <w:color w:val="000000"/>
          <w:lang w:eastAsia="sr-Cyrl-CS"/>
        </w:rPr>
        <w:tab/>
      </w:r>
      <w:r w:rsidRPr="00995265">
        <w:t>Предмет на настоящата поръчка е</w:t>
      </w:r>
      <w:r w:rsidR="00BB1824">
        <w:t xml:space="preserve"> </w:t>
      </w:r>
      <w:r w:rsidR="00237108" w:rsidRPr="00995265">
        <w:rPr>
          <w:b/>
          <w:sz w:val="22"/>
        </w:rPr>
        <w:t xml:space="preserve">„ДОСТАВКА, МОНТАЖ И ВЪВЕЖДАНЕ В ЕКСПЛОАТАЦИЯ НА </w:t>
      </w:r>
      <w:r w:rsidR="00237108">
        <w:rPr>
          <w:b/>
          <w:sz w:val="22"/>
        </w:rPr>
        <w:t xml:space="preserve"> ЛАБОРАТОРНО ОБОРУДВАНЕ В ОБОСОБЕНИ ПОЗИЦИИ, КАКТО СЛЕДВА: </w:t>
      </w:r>
      <w:r w:rsidR="00237108" w:rsidRPr="003E52CC">
        <w:rPr>
          <w:b/>
        </w:rPr>
        <w:t>ОБОСОБЕНА ПОЗИЦИЯ 1: СИСТЕМА ЗА ИЗРАСТВАНЕ НА КРИСТАЛИ ПО МЕТОДА НА БРИДЖМЕН</w:t>
      </w:r>
      <w:r w:rsidR="00237108">
        <w:rPr>
          <w:b/>
        </w:rPr>
        <w:t xml:space="preserve">; </w:t>
      </w:r>
      <w:r w:rsidR="00237108" w:rsidRPr="003E52CC">
        <w:rPr>
          <w:b/>
        </w:rPr>
        <w:t>ОБОСОБЕНА ПОЗИЦИЯ 2: СИСТЕМА ЗА ТРАНСФЕР НА 2D МАТЕРИАЛИ И ПОЛУЧАВАНЕ НА ХЕТЕРОСТРУКТУРИ</w:t>
      </w:r>
      <w:r w:rsidR="00237108">
        <w:rPr>
          <w:b/>
          <w:noProof/>
        </w:rPr>
        <w:t xml:space="preserve">“ </w:t>
      </w:r>
      <w:r>
        <w:t xml:space="preserve">в т. ч. </w:t>
      </w:r>
      <w:r w:rsidR="00F63A70">
        <w:t xml:space="preserve">доставка, </w:t>
      </w:r>
      <w:r w:rsidRPr="00995265">
        <w:t>инсталиране, приемни изпитания на място и въвеждането м</w:t>
      </w:r>
      <w:r>
        <w:t>у</w:t>
      </w:r>
      <w:r w:rsidRPr="00995265">
        <w:t xml:space="preserve"> в експлоатация, както и обучение на служители на Възложителя за експлоатация и </w:t>
      </w:r>
      <w:r w:rsidR="00F63A70">
        <w:t xml:space="preserve">рутинна </w:t>
      </w:r>
      <w:r>
        <w:t>техническа поддръжка на уреда, включително гаранционния му сервиз.</w:t>
      </w:r>
      <w:r w:rsidR="00647F45">
        <w:t xml:space="preserve">Оборудването е за нуждите на Институт по </w:t>
      </w:r>
      <w:r w:rsidR="00237108">
        <w:t>оптически материали и технологии</w:t>
      </w:r>
      <w:r w:rsidR="00647F45" w:rsidRPr="00995265">
        <w:t xml:space="preserve">"Акад. </w:t>
      </w:r>
      <w:r w:rsidR="00237108">
        <w:t>Йордан Малиновски</w:t>
      </w:r>
      <w:r w:rsidR="00647F45" w:rsidRPr="00995265">
        <w:t>"</w:t>
      </w:r>
      <w:r w:rsidR="00647F45">
        <w:t xml:space="preserve">– БАН, съгласно  проект </w:t>
      </w:r>
      <w:r w:rsidR="008A1949" w:rsidRPr="008A1949">
        <w:t>Grant Agreement number: 824140 — TOCHA — H2020-FETPROACT-2018-2020/H2020-FETPROACT-2018-01</w:t>
      </w:r>
    </w:p>
    <w:p w:rsidR="000C3E05" w:rsidRPr="000C3E05" w:rsidRDefault="000C3E05" w:rsidP="00237108">
      <w:pPr>
        <w:jc w:val="both"/>
        <w:rPr>
          <w:lang w:val="en-US"/>
        </w:rPr>
      </w:pPr>
    </w:p>
    <w:p w:rsidR="00B070D8" w:rsidRPr="00995265" w:rsidRDefault="00B070D8" w:rsidP="007070C8">
      <w:pPr>
        <w:spacing w:line="276" w:lineRule="auto"/>
        <w:ind w:firstLine="540"/>
        <w:jc w:val="both"/>
        <w:rPr>
          <w:color w:val="000000"/>
        </w:rPr>
      </w:pPr>
      <w:r w:rsidRPr="00995265">
        <w:rPr>
          <w:color w:val="000000"/>
        </w:rPr>
        <w:t>1.1 Правно основание за възлагане на процедурата</w:t>
      </w:r>
    </w:p>
    <w:p w:rsidR="00B070D8" w:rsidRPr="00995265" w:rsidRDefault="00B070D8" w:rsidP="007070C8">
      <w:pPr>
        <w:spacing w:line="276" w:lineRule="auto"/>
        <w:ind w:firstLine="540"/>
        <w:jc w:val="both"/>
      </w:pPr>
      <w:r w:rsidRPr="00995265">
        <w:tab/>
        <w:t xml:space="preserve">Възложител на настоящата процедура за избор на изпълнител на обществена поръчка, възлагана по реда на Закона за обществените поръчки (ЗОП), е Директорът на </w:t>
      </w:r>
      <w:r w:rsidR="00237108">
        <w:t xml:space="preserve">Институт по оптически материали и технологии </w:t>
      </w:r>
      <w:r w:rsidR="00237108" w:rsidRPr="00995265">
        <w:t xml:space="preserve">"Акад. </w:t>
      </w:r>
      <w:r w:rsidR="00237108">
        <w:t>Йордан Малиновски</w:t>
      </w:r>
      <w:r w:rsidR="00237108" w:rsidRPr="00995265">
        <w:t>"</w:t>
      </w:r>
      <w:r w:rsidRPr="00995265">
        <w:t>, с административен адрес: ул. "Акад. Георги Бончев", бл. 10</w:t>
      </w:r>
      <w:r w:rsidR="00237108">
        <w:t>9</w:t>
      </w:r>
      <w:r w:rsidRPr="00995265">
        <w:t xml:space="preserve">, 1113 София, </w:t>
      </w:r>
      <w:r w:rsidRPr="00995265">
        <w:rPr>
          <w:b/>
          <w:bCs/>
        </w:rPr>
        <w:t>телефон: </w:t>
      </w:r>
      <w:r w:rsidR="00237108">
        <w:rPr>
          <w:rFonts w:ascii="Helvetica" w:hAnsi="Helvetica"/>
          <w:color w:val="333333"/>
          <w:sz w:val="15"/>
          <w:szCs w:val="15"/>
          <w:shd w:val="clear" w:color="auto" w:fill="FDFDFD"/>
        </w:rPr>
        <w:t> </w:t>
      </w:r>
      <w:hyperlink r:id="rId9" w:history="1">
        <w:r w:rsidR="00237108" w:rsidRPr="00237108">
          <w:rPr>
            <w:rStyle w:val="Hyperlink"/>
            <w:color w:val="auto"/>
            <w:u w:val="none"/>
            <w:shd w:val="clear" w:color="auto" w:fill="FDFDFD"/>
          </w:rPr>
          <w:t>+359 2 872 00 73</w:t>
        </w:r>
      </w:hyperlink>
      <w:r w:rsidRPr="00995265">
        <w:t xml:space="preserve">, </w:t>
      </w:r>
      <w:r w:rsidRPr="00995265">
        <w:rPr>
          <w:b/>
          <w:bCs/>
        </w:rPr>
        <w:t>факс:</w:t>
      </w:r>
      <w:r w:rsidRPr="00995265">
        <w:t> </w:t>
      </w:r>
      <w:r w:rsidR="00237108" w:rsidRPr="00995265">
        <w:rPr>
          <w:b/>
          <w:bCs/>
        </w:rPr>
        <w:t>: </w:t>
      </w:r>
      <w:r w:rsidR="00237108">
        <w:rPr>
          <w:rFonts w:ascii="Helvetica" w:hAnsi="Helvetica"/>
          <w:color w:val="333333"/>
          <w:sz w:val="15"/>
          <w:szCs w:val="15"/>
          <w:shd w:val="clear" w:color="auto" w:fill="FDFDFD"/>
        </w:rPr>
        <w:t> </w:t>
      </w:r>
      <w:hyperlink r:id="rId10" w:history="1">
        <w:r w:rsidR="00237108" w:rsidRPr="00237108">
          <w:rPr>
            <w:rStyle w:val="Hyperlink"/>
            <w:color w:val="auto"/>
            <w:u w:val="none"/>
            <w:shd w:val="clear" w:color="auto" w:fill="FDFDFD"/>
          </w:rPr>
          <w:t>+359 2 872 00 73</w:t>
        </w:r>
      </w:hyperlink>
      <w:r w:rsidR="00237108">
        <w:t>,</w:t>
      </w:r>
      <w:r w:rsidRPr="00995265">
        <w:rPr>
          <w:b/>
          <w:bCs/>
        </w:rPr>
        <w:t xml:space="preserve">E-mail: </w:t>
      </w:r>
      <w:hyperlink r:id="rId11" w:history="1">
        <w:r w:rsidR="00824A12" w:rsidRPr="00824A12">
          <w:rPr>
            <w:color w:val="0070C0"/>
            <w:u w:val="single"/>
            <w:shd w:val="clear" w:color="auto" w:fill="FDFDFD"/>
          </w:rPr>
          <w:t>iomt</w:t>
        </w:r>
        <w:r w:rsidRPr="00824A12">
          <w:rPr>
            <w:rStyle w:val="Hyperlink"/>
            <w:color w:val="0070C0"/>
          </w:rPr>
          <w:t>@</w:t>
        </w:r>
        <w:r w:rsidR="00824A12" w:rsidRPr="00824A12">
          <w:rPr>
            <w:color w:val="0070C0"/>
            <w:u w:val="single"/>
            <w:shd w:val="clear" w:color="auto" w:fill="FDFDFD"/>
          </w:rPr>
          <w:t>iomt</w:t>
        </w:r>
        <w:r w:rsidRPr="00824A12">
          <w:rPr>
            <w:rStyle w:val="Hyperlink"/>
            <w:color w:val="0070C0"/>
          </w:rPr>
          <w:t>.bas.bg</w:t>
        </w:r>
      </w:hyperlink>
      <w:r w:rsidRPr="00995265">
        <w:t xml:space="preserve">, </w:t>
      </w:r>
      <w:r w:rsidRPr="00995265">
        <w:rPr>
          <w:b/>
          <w:bCs/>
        </w:rPr>
        <w:t>Website: </w:t>
      </w:r>
      <w:hyperlink r:id="rId12" w:history="1">
        <w:r w:rsidRPr="00995265">
          <w:rPr>
            <w:rStyle w:val="Hyperlink"/>
          </w:rPr>
          <w:t>http://www.i</w:t>
        </w:r>
        <w:r w:rsidR="00824A12">
          <w:rPr>
            <w:rStyle w:val="Hyperlink"/>
            <w:lang w:val="en-US"/>
          </w:rPr>
          <w:t>o</w:t>
        </w:r>
        <w:r w:rsidRPr="00995265">
          <w:rPr>
            <w:rStyle w:val="Hyperlink"/>
          </w:rPr>
          <w:t>m</w:t>
        </w:r>
        <w:r w:rsidR="00824A12">
          <w:rPr>
            <w:rStyle w:val="Hyperlink"/>
            <w:lang w:val="en-US"/>
          </w:rPr>
          <w:t>t</w:t>
        </w:r>
        <w:r w:rsidRPr="00995265">
          <w:rPr>
            <w:rStyle w:val="Hyperlink"/>
          </w:rPr>
          <w:t>.bas.bg</w:t>
        </w:r>
      </w:hyperlink>
    </w:p>
    <w:p w:rsidR="00B070D8" w:rsidRPr="00995265" w:rsidRDefault="00B070D8" w:rsidP="007070C8">
      <w:pPr>
        <w:spacing w:line="276" w:lineRule="auto"/>
        <w:ind w:firstLine="540"/>
        <w:jc w:val="both"/>
      </w:pPr>
      <w:r w:rsidRPr="00995265">
        <w:t xml:space="preserve">Адрес на поръчката в Профил на купувача: </w:t>
      </w:r>
      <w:hyperlink r:id="rId13" w:history="1">
        <w:r w:rsidR="007A5645" w:rsidRPr="007A5645">
          <w:rPr>
            <w:rStyle w:val="Hyperlink"/>
          </w:rPr>
          <w:t>http://www.iomt.bas.bg/профил-на-купувача</w:t>
        </w:r>
      </w:hyperlink>
      <w:r w:rsidRPr="00995265">
        <w:tab/>
        <w:t>Процедурата се открива на основание чл. 18, ал. 1, т. 1, при условията на чл. 74 от ЗОП</w:t>
      </w:r>
      <w:r w:rsidRPr="00995265">
        <w:rPr>
          <w:color w:val="000000"/>
        </w:rPr>
        <w:t xml:space="preserve">. </w:t>
      </w:r>
      <w:r w:rsidRPr="00995265">
        <w:t>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ППЗОП, както и приложимите национални и международни нормативни актове, съобразно с предмета на поръчката.</w:t>
      </w:r>
    </w:p>
    <w:p w:rsidR="00B070D8" w:rsidRPr="00995265" w:rsidRDefault="00B070D8" w:rsidP="007070C8">
      <w:pPr>
        <w:numPr>
          <w:ilvl w:val="1"/>
          <w:numId w:val="12"/>
        </w:numPr>
        <w:spacing w:line="276" w:lineRule="auto"/>
        <w:ind w:firstLine="540"/>
        <w:jc w:val="both"/>
      </w:pPr>
      <w:r w:rsidRPr="00995265">
        <w:t>Мотиви за избор на процедура по възлагане на поръчката</w:t>
      </w:r>
    </w:p>
    <w:p w:rsidR="00B070D8" w:rsidRPr="00995265" w:rsidRDefault="00B070D8" w:rsidP="007070C8">
      <w:pPr>
        <w:spacing w:line="276" w:lineRule="auto"/>
        <w:ind w:firstLine="540"/>
        <w:jc w:val="both"/>
      </w:pPr>
      <w:r w:rsidRPr="00995265">
        <w:tab/>
        <w:t>Провеждането на предвидената в ЗОП открита процедура гарантира в най-голяма степен публичността на възлагане изпълнението на поръчката, респективно прозрачност при разходването на финансовите средства.</w:t>
      </w:r>
    </w:p>
    <w:p w:rsidR="00B070D8" w:rsidRPr="00995265" w:rsidRDefault="00B070D8" w:rsidP="007070C8">
      <w:pPr>
        <w:spacing w:line="276" w:lineRule="auto"/>
        <w:ind w:firstLine="540"/>
        <w:jc w:val="both"/>
      </w:pPr>
      <w:r w:rsidRPr="00995265">
        <w:tab/>
        <w:t>С цел да се осигури максимална публичност и да се постигнат и най-добрите за Възложителя условия, настоящата обществена поръчка се възлага именно чрез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провеждането й.</w:t>
      </w:r>
    </w:p>
    <w:p w:rsidR="00B070D8" w:rsidRPr="00995265" w:rsidRDefault="00B070D8" w:rsidP="007070C8">
      <w:pPr>
        <w:spacing w:line="276" w:lineRule="auto"/>
        <w:ind w:firstLine="540"/>
        <w:jc w:val="both"/>
      </w:pPr>
    </w:p>
    <w:p w:rsidR="00B070D8" w:rsidRPr="00995265" w:rsidRDefault="00B070D8" w:rsidP="007070C8">
      <w:pPr>
        <w:numPr>
          <w:ilvl w:val="0"/>
          <w:numId w:val="12"/>
        </w:numPr>
        <w:spacing w:line="276" w:lineRule="auto"/>
        <w:ind w:firstLine="540"/>
        <w:jc w:val="both"/>
        <w:rPr>
          <w:b/>
          <w:color w:val="000000"/>
        </w:rPr>
      </w:pPr>
      <w:r w:rsidRPr="00995265">
        <w:rPr>
          <w:b/>
          <w:color w:val="000000"/>
        </w:rPr>
        <w:t>Индикативна стойност на поръчката</w:t>
      </w:r>
    </w:p>
    <w:p w:rsidR="00C65581" w:rsidRDefault="00B070D8" w:rsidP="007070C8">
      <w:pPr>
        <w:spacing w:line="276" w:lineRule="auto"/>
        <w:ind w:firstLine="540"/>
        <w:jc w:val="both"/>
      </w:pPr>
      <w:r w:rsidRPr="00995265">
        <w:tab/>
      </w:r>
      <w:r w:rsidRPr="003F1026">
        <w:t xml:space="preserve">Индикативната стойност на поръчката е </w:t>
      </w:r>
      <w:r w:rsidR="00C65581" w:rsidRPr="00C65581">
        <w:rPr>
          <w:b/>
          <w:lang w:val="en-US"/>
        </w:rPr>
        <w:t>150</w:t>
      </w:r>
      <w:r w:rsidR="00286FBA">
        <w:rPr>
          <w:b/>
        </w:rPr>
        <w:t xml:space="preserve"> </w:t>
      </w:r>
      <w:r w:rsidR="00C65581">
        <w:rPr>
          <w:b/>
          <w:lang w:val="en-US"/>
        </w:rPr>
        <w:t xml:space="preserve">490 </w:t>
      </w:r>
      <w:r w:rsidR="00C65581">
        <w:rPr>
          <w:b/>
        </w:rPr>
        <w:t>(сто</w:t>
      </w:r>
      <w:r w:rsidR="0019317E" w:rsidRPr="003F1026">
        <w:rPr>
          <w:b/>
        </w:rPr>
        <w:t xml:space="preserve"> и </w:t>
      </w:r>
      <w:r w:rsidR="00C65581">
        <w:rPr>
          <w:b/>
        </w:rPr>
        <w:t>пет</w:t>
      </w:r>
      <w:r w:rsidR="0019317E" w:rsidRPr="003F1026">
        <w:rPr>
          <w:b/>
        </w:rPr>
        <w:t xml:space="preserve">десет хиляди </w:t>
      </w:r>
      <w:r w:rsidR="00C65581">
        <w:rPr>
          <w:b/>
        </w:rPr>
        <w:t>четиристотин девет</w:t>
      </w:r>
      <w:r w:rsidR="0019317E" w:rsidRPr="003F1026">
        <w:rPr>
          <w:b/>
        </w:rPr>
        <w:t xml:space="preserve">десет) лева </w:t>
      </w:r>
      <w:r w:rsidRPr="003F1026">
        <w:rPr>
          <w:b/>
        </w:rPr>
        <w:t>без ДДС</w:t>
      </w:r>
      <w:r w:rsidR="00286FBA">
        <w:rPr>
          <w:b/>
        </w:rPr>
        <w:t xml:space="preserve"> </w:t>
      </w:r>
      <w:r w:rsidRPr="003F1026">
        <w:rPr>
          <w:b/>
        </w:rPr>
        <w:t xml:space="preserve">или </w:t>
      </w:r>
      <w:r w:rsidR="00C65581">
        <w:rPr>
          <w:b/>
        </w:rPr>
        <w:t>1805</w:t>
      </w:r>
      <w:r w:rsidR="000D7F23" w:rsidRPr="003F1026">
        <w:rPr>
          <w:b/>
          <w:lang w:val="en-US"/>
        </w:rPr>
        <w:t>8</w:t>
      </w:r>
      <w:r w:rsidR="00C65581">
        <w:rPr>
          <w:b/>
        </w:rPr>
        <w:t>8</w:t>
      </w:r>
      <w:r w:rsidRPr="003F1026">
        <w:rPr>
          <w:b/>
        </w:rPr>
        <w:t>(</w:t>
      </w:r>
      <w:r w:rsidR="00C65581">
        <w:rPr>
          <w:b/>
        </w:rPr>
        <w:t>сто и</w:t>
      </w:r>
      <w:r w:rsidR="00286FBA">
        <w:rPr>
          <w:b/>
        </w:rPr>
        <w:t xml:space="preserve"> </w:t>
      </w:r>
      <w:r w:rsidR="00C65581">
        <w:rPr>
          <w:b/>
        </w:rPr>
        <w:t>осем</w:t>
      </w:r>
      <w:r w:rsidR="0019317E" w:rsidRPr="003F1026">
        <w:rPr>
          <w:b/>
        </w:rPr>
        <w:t xml:space="preserve">десет хиляди </w:t>
      </w:r>
      <w:r w:rsidR="00C65581">
        <w:rPr>
          <w:b/>
        </w:rPr>
        <w:t>петст</w:t>
      </w:r>
      <w:r w:rsidR="0019317E" w:rsidRPr="003F1026">
        <w:rPr>
          <w:b/>
        </w:rPr>
        <w:t xml:space="preserve">отин </w:t>
      </w:r>
      <w:r w:rsidR="00C65581">
        <w:rPr>
          <w:b/>
        </w:rPr>
        <w:t>осемдесет и осем</w:t>
      </w:r>
      <w:r w:rsidRPr="003F1026">
        <w:rPr>
          <w:b/>
        </w:rPr>
        <w:t>) лева с ДДС</w:t>
      </w:r>
      <w:r w:rsidR="00C65581">
        <w:rPr>
          <w:b/>
        </w:rPr>
        <w:t xml:space="preserve">, </w:t>
      </w:r>
      <w:r w:rsidR="00C65581">
        <w:t>разпределени както следва:</w:t>
      </w:r>
    </w:p>
    <w:p w:rsidR="00C65581" w:rsidRDefault="00C65581" w:rsidP="007070C8">
      <w:pPr>
        <w:spacing w:line="276" w:lineRule="auto"/>
        <w:ind w:firstLine="540"/>
        <w:jc w:val="both"/>
        <w:rPr>
          <w:b/>
          <w:i/>
        </w:rPr>
      </w:pPr>
      <w:r>
        <w:t xml:space="preserve">- за Обособена позиция № 1 </w:t>
      </w:r>
      <w:r w:rsidRPr="00C65581">
        <w:t>(Система за израстване на кристали по метода на Бриджмен)</w:t>
      </w:r>
      <w:r>
        <w:rPr>
          <w:b/>
        </w:rPr>
        <w:t xml:space="preserve"> - </w:t>
      </w:r>
      <w:r w:rsidRPr="00C65581">
        <w:rPr>
          <w:b/>
          <w:i/>
        </w:rPr>
        <w:t>120 500</w:t>
      </w:r>
      <w:r>
        <w:rPr>
          <w:b/>
          <w:i/>
        </w:rPr>
        <w:t xml:space="preserve"> (сто и двадесет хиляди и петстотин</w:t>
      </w:r>
      <w:r w:rsidR="00D22099">
        <w:rPr>
          <w:b/>
          <w:i/>
        </w:rPr>
        <w:t>)</w:t>
      </w:r>
      <w:r>
        <w:rPr>
          <w:b/>
          <w:i/>
        </w:rPr>
        <w:t xml:space="preserve"> лева без ДДС;</w:t>
      </w:r>
    </w:p>
    <w:p w:rsidR="00C65581" w:rsidRPr="00C65581" w:rsidRDefault="00880215" w:rsidP="00C65581">
      <w:pPr>
        <w:jc w:val="both"/>
      </w:pPr>
      <w:r>
        <w:lastRenderedPageBreak/>
        <w:tab/>
      </w:r>
      <w:r w:rsidR="00C65581">
        <w:t xml:space="preserve">- за Обособена позиция № 2 </w:t>
      </w:r>
      <w:r w:rsidR="00C65581" w:rsidRPr="00C65581">
        <w:t>(Система за трансфер на 2D материали и получаване на хетероструктури)</w:t>
      </w:r>
      <w:r w:rsidR="00C65581">
        <w:rPr>
          <w:b/>
        </w:rPr>
        <w:t xml:space="preserve"> - </w:t>
      </w:r>
      <w:r w:rsidR="00C65581" w:rsidRPr="00C65581">
        <w:rPr>
          <w:b/>
          <w:i/>
        </w:rPr>
        <w:t>2</w:t>
      </w:r>
      <w:r w:rsidR="00C65581">
        <w:rPr>
          <w:b/>
          <w:i/>
        </w:rPr>
        <w:t>9 99</w:t>
      </w:r>
      <w:r w:rsidR="00C65581" w:rsidRPr="00C65581">
        <w:rPr>
          <w:b/>
          <w:i/>
        </w:rPr>
        <w:t>0</w:t>
      </w:r>
      <w:r w:rsidR="00C65581">
        <w:rPr>
          <w:b/>
          <w:i/>
        </w:rPr>
        <w:t xml:space="preserve"> (двадесет и девет хиляди деветстотин и деветдесет) лева без ДДС;</w:t>
      </w:r>
    </w:p>
    <w:p w:rsidR="00B070D8" w:rsidRPr="003F1026" w:rsidRDefault="00B070D8" w:rsidP="007070C8">
      <w:pPr>
        <w:spacing w:line="276" w:lineRule="auto"/>
        <w:ind w:firstLine="540"/>
        <w:jc w:val="both"/>
      </w:pPr>
    </w:p>
    <w:p w:rsidR="00880215" w:rsidRPr="00995265" w:rsidRDefault="00B070D8" w:rsidP="00365286">
      <w:pPr>
        <w:spacing w:line="276" w:lineRule="auto"/>
        <w:jc w:val="both"/>
      </w:pPr>
      <w:r w:rsidRPr="00995265">
        <w:tab/>
      </w:r>
      <w:r w:rsidR="00880215" w:rsidRPr="00995265">
        <w:t>Индикативните стойности на съответните обособени позиции се явяват и максималния разполагаем финансов ресурс на Възложителя за изпълнение на дейностите предмет на настоящата обществена поръчка.</w:t>
      </w:r>
    </w:p>
    <w:p w:rsidR="00880215" w:rsidRPr="00995265" w:rsidRDefault="00880215" w:rsidP="00286FBA">
      <w:pPr>
        <w:spacing w:line="276" w:lineRule="auto"/>
        <w:jc w:val="both"/>
      </w:pPr>
      <w:r w:rsidRPr="00995265">
        <w:rPr>
          <w:i/>
        </w:rPr>
        <w:tab/>
      </w:r>
      <w:r w:rsidRPr="00995265">
        <w:rPr>
          <w:b/>
          <w:i/>
        </w:rPr>
        <w:t>Забележка:</w:t>
      </w:r>
      <w:r w:rsidRPr="00995265">
        <w:t>Участник предложил цена, надвишаваща индикативната стойност на съответната обособена позиция ще бъде отстранен от участие в процедурата.</w:t>
      </w:r>
    </w:p>
    <w:p w:rsidR="00880215" w:rsidRPr="00995265" w:rsidRDefault="00880215" w:rsidP="0018687C">
      <w:pPr>
        <w:spacing w:line="276" w:lineRule="auto"/>
        <w:jc w:val="both"/>
        <w:rPr>
          <w:b/>
          <w:bCs/>
        </w:rPr>
      </w:pPr>
      <w:r w:rsidRPr="00995265">
        <w:tab/>
      </w:r>
      <w:r w:rsidRPr="00995265">
        <w:rPr>
          <w:b/>
          <w:bCs/>
        </w:rPr>
        <w:t>В цената следва да се предвидят всички разходи на участника за изпълнение на поръчката: доставка, монтаж</w:t>
      </w:r>
      <w:r>
        <w:rPr>
          <w:b/>
          <w:bCs/>
        </w:rPr>
        <w:t>,</w:t>
      </w:r>
      <w:r w:rsidRPr="00995265">
        <w:rPr>
          <w:b/>
          <w:bCs/>
        </w:rPr>
        <w:t xml:space="preserve"> пускане в експлоатация</w:t>
      </w:r>
      <w:r>
        <w:rPr>
          <w:b/>
          <w:bCs/>
        </w:rPr>
        <w:t xml:space="preserve"> и гаранционен сервиз</w:t>
      </w:r>
      <w:r w:rsidRPr="00995265">
        <w:rPr>
          <w:b/>
          <w:bCs/>
        </w:rPr>
        <w:t xml:space="preserve"> на апаратурата, мита, такси, обучение за работа с оборудването, ако такова се предвижда /включително ако обучението се провежда в чужбина/ (ако е приложимо) и др.</w:t>
      </w:r>
    </w:p>
    <w:p w:rsidR="00B070D8" w:rsidRDefault="00880215" w:rsidP="00880215">
      <w:pPr>
        <w:spacing w:line="276" w:lineRule="auto"/>
        <w:ind w:firstLine="540"/>
        <w:jc w:val="both"/>
        <w:rPr>
          <w:color w:val="000000"/>
          <w:lang w:val="en-US"/>
        </w:rPr>
      </w:pPr>
      <w:r>
        <w:t>На основание чл. 20, ал. 6 от ЗОП</w:t>
      </w:r>
      <w:r w:rsidR="00B040F5">
        <w:t xml:space="preserve"> Възложителят ще</w:t>
      </w:r>
      <w:r w:rsidR="0018687C">
        <w:t xml:space="preserve"> възложи</w:t>
      </w:r>
      <w:r w:rsidR="00B040F5">
        <w:t xml:space="preserve"> обособена позиция № </w:t>
      </w:r>
      <w:r w:rsidR="00B040F5" w:rsidRPr="00B040F5">
        <w:t xml:space="preserve">2 </w:t>
      </w:r>
      <w:r w:rsidR="00B040F5" w:rsidRPr="00B040F5">
        <w:rPr>
          <w:color w:val="000000"/>
        </w:rPr>
        <w:t xml:space="preserve">по индивидуалната </w:t>
      </w:r>
      <w:r w:rsidR="0018687C">
        <w:rPr>
          <w:color w:val="000000"/>
        </w:rPr>
        <w:t>ѝ</w:t>
      </w:r>
      <w:r w:rsidR="00B040F5" w:rsidRPr="00B040F5">
        <w:rPr>
          <w:color w:val="000000"/>
        </w:rPr>
        <w:t xml:space="preserve"> стойност, а именно чрез директно възлагане</w:t>
      </w:r>
      <w:r w:rsidR="00B040F5">
        <w:rPr>
          <w:color w:val="000000"/>
        </w:rPr>
        <w:t>.</w:t>
      </w:r>
      <w:r w:rsidR="00B040F5">
        <w:rPr>
          <w:rFonts w:ascii="Courier New" w:hAnsi="Courier New" w:cs="Courier New"/>
          <w:color w:val="000000"/>
          <w:sz w:val="17"/>
          <w:szCs w:val="17"/>
        </w:rPr>
        <w:br/>
      </w:r>
      <w:r w:rsidR="00B040F5" w:rsidRPr="0018687C">
        <w:rPr>
          <w:color w:val="000000"/>
          <w:szCs w:val="17"/>
        </w:rPr>
        <w:t>Обособена позиция №</w:t>
      </w:r>
      <w:r w:rsidR="00055C08" w:rsidRPr="0018687C">
        <w:rPr>
          <w:color w:val="000000"/>
          <w:szCs w:val="17"/>
        </w:rPr>
        <w:t xml:space="preserve"> 2</w:t>
      </w:r>
      <w:r w:rsidR="00B040F5" w:rsidRPr="0018687C">
        <w:rPr>
          <w:color w:val="000000"/>
          <w:szCs w:val="17"/>
        </w:rPr>
        <w:t>:</w:t>
      </w:r>
      <w:r w:rsidR="00286FBA">
        <w:rPr>
          <w:color w:val="000000"/>
          <w:szCs w:val="17"/>
        </w:rPr>
        <w:t xml:space="preserve"> </w:t>
      </w:r>
      <w:r w:rsidR="00055C08" w:rsidRPr="001516E6">
        <w:rPr>
          <w:b/>
        </w:rPr>
        <w:t>„</w:t>
      </w:r>
      <w:r w:rsidR="00F63A70" w:rsidRPr="001516E6">
        <w:rPr>
          <w:b/>
        </w:rPr>
        <w:t>Доставка</w:t>
      </w:r>
      <w:r w:rsidR="00055C08" w:rsidRPr="001516E6">
        <w:rPr>
          <w:b/>
        </w:rPr>
        <w:t>, монтаж и въвеждане в експлоатация наСистема за трансфер на 2D материали и получаване на хетероструктури"</w:t>
      </w:r>
      <w:r w:rsidR="00286FBA">
        <w:rPr>
          <w:b/>
        </w:rPr>
        <w:t xml:space="preserve"> </w:t>
      </w:r>
      <w:r w:rsidR="0018687C">
        <w:t xml:space="preserve">е с </w:t>
      </w:r>
      <w:r w:rsidR="0018687C" w:rsidRPr="00055C08">
        <w:rPr>
          <w:color w:val="000000"/>
        </w:rPr>
        <w:t xml:space="preserve">прогнозна </w:t>
      </w:r>
      <w:r w:rsidR="00B040F5" w:rsidRPr="00055C08">
        <w:rPr>
          <w:color w:val="000000"/>
        </w:rPr>
        <w:t xml:space="preserve">стойност в размер </w:t>
      </w:r>
      <w:r w:rsidR="00055C08" w:rsidRPr="00055C08">
        <w:rPr>
          <w:color w:val="000000"/>
        </w:rPr>
        <w:t>на 29 99</w:t>
      </w:r>
      <w:r w:rsidR="00B040F5" w:rsidRPr="00055C08">
        <w:rPr>
          <w:color w:val="000000"/>
        </w:rPr>
        <w:t xml:space="preserve">0.00 лв. без </w:t>
      </w:r>
      <w:r w:rsidR="00055C08" w:rsidRPr="00055C08">
        <w:rPr>
          <w:color w:val="000000"/>
        </w:rPr>
        <w:t>ДДС</w:t>
      </w:r>
      <w:r w:rsidR="00B040F5" w:rsidRPr="00055C08">
        <w:rPr>
          <w:color w:val="000000"/>
        </w:rPr>
        <w:t xml:space="preserve">, което представлява </w:t>
      </w:r>
      <w:r w:rsidR="00055C08" w:rsidRPr="00055C08">
        <w:rPr>
          <w:color w:val="000000"/>
        </w:rPr>
        <w:t>19,93 %</w:t>
      </w:r>
      <w:r w:rsidR="00B040F5" w:rsidRPr="00055C08">
        <w:rPr>
          <w:color w:val="000000"/>
        </w:rPr>
        <w:t xml:space="preserve"> от общата стойност на поръчката.</w:t>
      </w:r>
    </w:p>
    <w:p w:rsidR="00C158BE" w:rsidRPr="00C158BE" w:rsidRDefault="00C158BE" w:rsidP="00880215">
      <w:pPr>
        <w:spacing w:line="276" w:lineRule="auto"/>
        <w:ind w:firstLine="540"/>
        <w:jc w:val="both"/>
        <w:rPr>
          <w:lang w:val="en-US"/>
        </w:rPr>
      </w:pPr>
    </w:p>
    <w:p w:rsidR="00B070D8" w:rsidRPr="00995265" w:rsidRDefault="00B070D8" w:rsidP="007070C8">
      <w:pPr>
        <w:numPr>
          <w:ilvl w:val="0"/>
          <w:numId w:val="12"/>
        </w:numPr>
        <w:spacing w:line="276" w:lineRule="auto"/>
        <w:ind w:firstLine="540"/>
        <w:jc w:val="both"/>
        <w:rPr>
          <w:b/>
          <w:caps/>
        </w:rPr>
      </w:pPr>
      <w:r w:rsidRPr="00995265">
        <w:rPr>
          <w:b/>
        </w:rPr>
        <w:t>Финансиране и начин на плащане</w:t>
      </w:r>
    </w:p>
    <w:p w:rsidR="00B070D8" w:rsidRPr="008A1949" w:rsidRDefault="00B070D8" w:rsidP="007070C8">
      <w:pPr>
        <w:spacing w:line="276" w:lineRule="auto"/>
        <w:ind w:firstLine="540"/>
        <w:jc w:val="both"/>
        <w:rPr>
          <w:b/>
          <w:lang w:val="en-US"/>
        </w:rPr>
      </w:pPr>
      <w:r w:rsidRPr="00995265">
        <w:rPr>
          <w:b/>
          <w:caps/>
        </w:rPr>
        <w:tab/>
      </w:r>
      <w:r w:rsidRPr="00995265">
        <w:rPr>
          <w:bCs/>
        </w:rPr>
        <w:t xml:space="preserve">Обществената поръчка се финансира със средства по Проект - </w:t>
      </w:r>
      <w:r w:rsidR="008A1949" w:rsidRPr="008A1949">
        <w:t>Grant Agreement number: 824140 — TOCHA — H2020-FETPROACT-2018-2020/H2020-FETPROACT-2018-01</w:t>
      </w:r>
      <w:r w:rsidRPr="00867F40">
        <w:rPr>
          <w:bCs/>
        </w:rPr>
        <w:t>,</w:t>
      </w:r>
      <w:r w:rsidRPr="00995265">
        <w:rPr>
          <w:bCs/>
        </w:rPr>
        <w:t xml:space="preserve"> финансиран от </w:t>
      </w:r>
      <w:r w:rsidR="008A1949">
        <w:rPr>
          <w:bCs/>
        </w:rPr>
        <w:t xml:space="preserve">програма </w:t>
      </w:r>
      <w:r w:rsidR="008A1949">
        <w:rPr>
          <w:bCs/>
          <w:lang w:val="en-US"/>
        </w:rPr>
        <w:t>HORIZON 2020 (</w:t>
      </w:r>
      <w:r w:rsidR="008A1949">
        <w:rPr>
          <w:bCs/>
        </w:rPr>
        <w:t>Хоризонт 2020</w:t>
      </w:r>
      <w:r w:rsidR="008A1949">
        <w:rPr>
          <w:bCs/>
          <w:lang w:val="en-US"/>
        </w:rPr>
        <w:t>)</w:t>
      </w:r>
    </w:p>
    <w:p w:rsidR="00B070D8" w:rsidRPr="00995265" w:rsidRDefault="00B070D8" w:rsidP="007070C8">
      <w:pPr>
        <w:spacing w:line="276" w:lineRule="auto"/>
        <w:ind w:firstLine="540"/>
        <w:jc w:val="both"/>
      </w:pPr>
      <w:r w:rsidRPr="00995265">
        <w:tab/>
        <w:t>Начинът на плащане е подробно уреден в проекта на договор към настоящата обществена поръчка.</w:t>
      </w:r>
    </w:p>
    <w:p w:rsidR="00B070D8" w:rsidRPr="00995265" w:rsidRDefault="00B070D8" w:rsidP="007070C8">
      <w:pPr>
        <w:spacing w:line="276" w:lineRule="auto"/>
        <w:ind w:firstLine="540"/>
        <w:jc w:val="both"/>
      </w:pPr>
    </w:p>
    <w:p w:rsidR="00B070D8" w:rsidRPr="00995265" w:rsidRDefault="00B070D8" w:rsidP="007070C8">
      <w:pPr>
        <w:numPr>
          <w:ilvl w:val="0"/>
          <w:numId w:val="12"/>
        </w:numPr>
        <w:spacing w:line="276" w:lineRule="auto"/>
        <w:ind w:firstLine="540"/>
        <w:jc w:val="both"/>
      </w:pPr>
      <w:r w:rsidRPr="00995265">
        <w:rPr>
          <w:b/>
        </w:rPr>
        <w:t>Разходи за поръчката</w:t>
      </w:r>
    </w:p>
    <w:p w:rsidR="00B070D8" w:rsidRPr="00995265" w:rsidRDefault="00B070D8" w:rsidP="007070C8">
      <w:pPr>
        <w:spacing w:line="276" w:lineRule="auto"/>
        <w:ind w:firstLine="540"/>
        <w:jc w:val="both"/>
      </w:pPr>
      <w:r w:rsidRPr="00995265">
        <w:tab/>
        <w:t>Разходите за изработването на офертите са за сметка на участниците в процедурата.</w:t>
      </w:r>
      <w:r w:rsidRPr="00995265">
        <w:tab/>
        <w:t>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B070D8" w:rsidRPr="00995265" w:rsidRDefault="00B070D8" w:rsidP="007070C8">
      <w:pPr>
        <w:spacing w:line="276" w:lineRule="auto"/>
        <w:ind w:firstLine="540"/>
        <w:jc w:val="both"/>
      </w:pPr>
    </w:p>
    <w:p w:rsidR="00B070D8" w:rsidRPr="00995265" w:rsidRDefault="00B070D8" w:rsidP="007070C8">
      <w:pPr>
        <w:numPr>
          <w:ilvl w:val="0"/>
          <w:numId w:val="12"/>
        </w:numPr>
        <w:spacing w:line="276" w:lineRule="auto"/>
        <w:ind w:firstLine="540"/>
        <w:jc w:val="both"/>
        <w:rPr>
          <w:b/>
          <w:caps/>
        </w:rPr>
      </w:pPr>
      <w:r w:rsidRPr="00995265">
        <w:rPr>
          <w:b/>
        </w:rPr>
        <w:t>Срок за изпълнение</w:t>
      </w:r>
    </w:p>
    <w:p w:rsidR="00E36B93" w:rsidRDefault="00B070D8" w:rsidP="007070C8">
      <w:pPr>
        <w:spacing w:line="276" w:lineRule="auto"/>
        <w:ind w:firstLine="540"/>
        <w:jc w:val="both"/>
        <w:rPr>
          <w:b/>
        </w:rPr>
      </w:pPr>
      <w:r w:rsidRPr="00995265">
        <w:tab/>
      </w:r>
      <w:r w:rsidRPr="00286FBA">
        <w:rPr>
          <w:b/>
        </w:rPr>
        <w:t>Сро</w:t>
      </w:r>
      <w:r w:rsidR="00286FBA">
        <w:rPr>
          <w:b/>
        </w:rPr>
        <w:t>кът на изпълнение на поръчката е</w:t>
      </w:r>
      <w:r w:rsidRPr="00286FBA">
        <w:rPr>
          <w:b/>
        </w:rPr>
        <w:t xml:space="preserve"> не повече от </w:t>
      </w:r>
      <w:r w:rsidR="009859D6" w:rsidRPr="00286FBA">
        <w:rPr>
          <w:b/>
        </w:rPr>
        <w:t>240</w:t>
      </w:r>
      <w:r w:rsidR="009859D6">
        <w:rPr>
          <w:b/>
        </w:rPr>
        <w:t xml:space="preserve"> </w:t>
      </w:r>
      <w:r w:rsidR="00611335">
        <w:rPr>
          <w:b/>
        </w:rPr>
        <w:t>календарни дни</w:t>
      </w:r>
      <w:r w:rsidRPr="00995265">
        <w:rPr>
          <w:b/>
        </w:rPr>
        <w:t xml:space="preserve"> от получаване на възлагателно писмо</w:t>
      </w:r>
      <w:r w:rsidRPr="00995265">
        <w:t>.</w:t>
      </w:r>
      <w:r>
        <w:t xml:space="preserve"> Срокът за изпълнение на поръчката включва </w:t>
      </w:r>
      <w:r>
        <w:rPr>
          <w:b/>
        </w:rPr>
        <w:t>срокът з</w:t>
      </w:r>
      <w:r w:rsidRPr="00995265">
        <w:rPr>
          <w:b/>
        </w:rPr>
        <w:t>а</w:t>
      </w:r>
      <w:r w:rsidR="00286FBA">
        <w:rPr>
          <w:b/>
        </w:rPr>
        <w:t xml:space="preserve"> </w:t>
      </w:r>
      <w:r w:rsidRPr="00995265">
        <w:rPr>
          <w:b/>
        </w:rPr>
        <w:t>доставка</w:t>
      </w:r>
      <w:r>
        <w:rPr>
          <w:b/>
        </w:rPr>
        <w:t>,</w:t>
      </w:r>
      <w:r w:rsidR="00286FBA">
        <w:rPr>
          <w:b/>
        </w:rPr>
        <w:t xml:space="preserve"> </w:t>
      </w:r>
      <w:r w:rsidRPr="00977AA5">
        <w:rPr>
          <w:b/>
        </w:rPr>
        <w:t xml:space="preserve">инсталиране, </w:t>
      </w:r>
      <w:r>
        <w:rPr>
          <w:b/>
        </w:rPr>
        <w:t xml:space="preserve">извършване на </w:t>
      </w:r>
      <w:r w:rsidRPr="00977AA5">
        <w:rPr>
          <w:b/>
        </w:rPr>
        <w:t>приемните изпитания на място и въвеждането в експлоатация на оборудването</w:t>
      </w:r>
      <w:r>
        <w:rPr>
          <w:b/>
        </w:rPr>
        <w:t>.</w:t>
      </w:r>
    </w:p>
    <w:p w:rsidR="00B070D8" w:rsidRPr="00995265" w:rsidRDefault="00E36B93" w:rsidP="007070C8">
      <w:pPr>
        <w:spacing w:line="276" w:lineRule="auto"/>
        <w:ind w:firstLine="540"/>
        <w:jc w:val="both"/>
      </w:pPr>
      <w:r>
        <w:rPr>
          <w:b/>
        </w:rPr>
        <w:t xml:space="preserve">Срокът за </w:t>
      </w:r>
      <w:r w:rsidR="001E2FA2">
        <w:rPr>
          <w:b/>
        </w:rPr>
        <w:t>инсталиране</w:t>
      </w:r>
      <w:r w:rsidR="001E2FA2" w:rsidRPr="001E2FA2">
        <w:rPr>
          <w:b/>
        </w:rPr>
        <w:t>, извършване на приемните изпитания на място и въвеждането в експлоатация на оборудването</w:t>
      </w:r>
      <w:r w:rsidR="001516E6">
        <w:rPr>
          <w:b/>
          <w:lang w:val="en-US"/>
        </w:rPr>
        <w:t xml:space="preserve"> </w:t>
      </w:r>
      <w:r>
        <w:rPr>
          <w:b/>
        </w:rPr>
        <w:t>не може да бъде по-дълъг от</w:t>
      </w:r>
      <w:r w:rsidR="00365286">
        <w:rPr>
          <w:b/>
        </w:rPr>
        <w:t xml:space="preserve"> </w:t>
      </w:r>
      <w:r w:rsidR="009859D6">
        <w:rPr>
          <w:b/>
        </w:rPr>
        <w:t>30</w:t>
      </w:r>
      <w:r w:rsidRPr="00E36B93">
        <w:rPr>
          <w:b/>
        </w:rPr>
        <w:t xml:space="preserve"> дни след доставката</w:t>
      </w:r>
      <w:r w:rsidR="00611335">
        <w:rPr>
          <w:b/>
        </w:rPr>
        <w:t xml:space="preserve"> на оборудването</w:t>
      </w:r>
      <w:r>
        <w:rPr>
          <w:b/>
        </w:rPr>
        <w:t>.</w:t>
      </w: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pPr>
      <w:r w:rsidRPr="00995265">
        <w:rPr>
          <w:i/>
        </w:rPr>
        <w:tab/>
        <w:t xml:space="preserve">Забележка: </w:t>
      </w:r>
      <w:r w:rsidRPr="00995265">
        <w:t>Участник предложил срок по-дълъг от посочените ще бъде отстранен от участие в процедурата.</w:t>
      </w:r>
    </w:p>
    <w:p w:rsidR="00B070D8" w:rsidRPr="00995265" w:rsidRDefault="00B070D8" w:rsidP="007070C8">
      <w:pPr>
        <w:spacing w:line="276" w:lineRule="auto"/>
        <w:ind w:firstLine="540"/>
        <w:jc w:val="both"/>
      </w:pPr>
      <w:r w:rsidRPr="00995265">
        <w:tab/>
        <w:t>Посочените сроковете са задължителни за участниците в процедурата.</w:t>
      </w:r>
    </w:p>
    <w:p w:rsidR="00B070D8" w:rsidRPr="00995265" w:rsidRDefault="00B070D8" w:rsidP="007070C8">
      <w:pPr>
        <w:spacing w:line="276" w:lineRule="auto"/>
        <w:ind w:firstLine="540"/>
        <w:jc w:val="both"/>
      </w:pPr>
      <w:r w:rsidRPr="00995265">
        <w:lastRenderedPageBreak/>
        <w:tab/>
        <w:t>Сроковете за изпълнение на поръчката се посочват от участника в предложението за изпълнение на поръчката.</w:t>
      </w:r>
    </w:p>
    <w:p w:rsidR="00B070D8" w:rsidRPr="00995265" w:rsidRDefault="00B070D8" w:rsidP="007070C8">
      <w:pPr>
        <w:spacing w:line="276" w:lineRule="auto"/>
        <w:ind w:firstLine="540"/>
        <w:jc w:val="both"/>
        <w:rPr>
          <w:b/>
          <w:i/>
        </w:rPr>
      </w:pPr>
    </w:p>
    <w:p w:rsidR="00B070D8" w:rsidRPr="00995265" w:rsidRDefault="00B070D8" w:rsidP="007070C8">
      <w:pPr>
        <w:numPr>
          <w:ilvl w:val="0"/>
          <w:numId w:val="12"/>
        </w:numPr>
        <w:spacing w:line="276" w:lineRule="auto"/>
        <w:ind w:firstLine="540"/>
        <w:jc w:val="both"/>
      </w:pPr>
      <w:r w:rsidRPr="00995265">
        <w:rPr>
          <w:b/>
          <w:bCs/>
        </w:rPr>
        <w:t>Възможност за представяне на варианти в офертите</w:t>
      </w:r>
    </w:p>
    <w:p w:rsidR="00B070D8" w:rsidRDefault="00B070D8" w:rsidP="007070C8">
      <w:pPr>
        <w:spacing w:line="276" w:lineRule="auto"/>
        <w:ind w:firstLine="540"/>
        <w:jc w:val="both"/>
        <w:rPr>
          <w:bCs/>
        </w:rPr>
      </w:pPr>
      <w:r w:rsidRPr="00995265">
        <w:rPr>
          <w:bCs/>
        </w:rPr>
        <w:tab/>
        <w:t>Няма възможност за представяне на варианти в офертите.</w:t>
      </w:r>
    </w:p>
    <w:p w:rsidR="00B070D8" w:rsidRDefault="00B070D8" w:rsidP="007070C8">
      <w:pPr>
        <w:spacing w:line="276" w:lineRule="auto"/>
        <w:ind w:firstLine="540"/>
        <w:jc w:val="both"/>
        <w:rPr>
          <w:bCs/>
        </w:rPr>
      </w:pPr>
    </w:p>
    <w:p w:rsidR="00B070D8" w:rsidRDefault="00B070D8" w:rsidP="007070C8">
      <w:pPr>
        <w:numPr>
          <w:ilvl w:val="0"/>
          <w:numId w:val="12"/>
        </w:numPr>
        <w:spacing w:line="276" w:lineRule="auto"/>
        <w:ind w:firstLine="540"/>
        <w:jc w:val="both"/>
        <w:rPr>
          <w:b/>
          <w:bCs/>
        </w:rPr>
      </w:pPr>
      <w:r w:rsidRPr="00295198">
        <w:rPr>
          <w:b/>
          <w:bCs/>
        </w:rPr>
        <w:t>Срок на валидност на офертите</w:t>
      </w:r>
    </w:p>
    <w:p w:rsidR="00B070D8" w:rsidRPr="00295198" w:rsidRDefault="00B070D8" w:rsidP="007070C8">
      <w:pPr>
        <w:spacing w:line="276" w:lineRule="auto"/>
        <w:ind w:firstLine="540"/>
        <w:jc w:val="both"/>
        <w:rPr>
          <w:bCs/>
        </w:rPr>
      </w:pPr>
      <w:r w:rsidRPr="00295198">
        <w:rPr>
          <w:bCs/>
        </w:rPr>
        <w:t xml:space="preserve">Срокът на валидност на офертите е </w:t>
      </w:r>
      <w:r w:rsidR="00055C08">
        <w:rPr>
          <w:bCs/>
        </w:rPr>
        <w:t>посочен в обявлението за поръчката.</w:t>
      </w:r>
    </w:p>
    <w:p w:rsidR="00B070D8" w:rsidRPr="00995265" w:rsidRDefault="00B070D8" w:rsidP="007070C8">
      <w:pPr>
        <w:pStyle w:val="Heading1"/>
        <w:spacing w:line="276" w:lineRule="auto"/>
        <w:ind w:firstLine="540"/>
        <w:jc w:val="both"/>
        <w:rPr>
          <w:rFonts w:eastAsia="Calibri"/>
        </w:rPr>
      </w:pPr>
      <w:bookmarkStart w:id="11" w:name="_Toc486429984"/>
      <w:bookmarkStart w:id="12" w:name="_Toc496542668"/>
      <w:r w:rsidRPr="00995265">
        <w:rPr>
          <w:rFonts w:eastAsia="Calibri"/>
        </w:rPr>
        <w:tab/>
      </w:r>
      <w:bookmarkStart w:id="13" w:name="_Toc3990219"/>
      <w:proofErr w:type="gramStart"/>
      <w:r w:rsidRPr="00995265">
        <w:rPr>
          <w:rFonts w:eastAsia="Calibri"/>
        </w:rPr>
        <w:t>РАЗДЕЛ II.</w:t>
      </w:r>
      <w:proofErr w:type="gramEnd"/>
      <w:r w:rsidRPr="00995265">
        <w:rPr>
          <w:rFonts w:eastAsia="Calibri"/>
        </w:rPr>
        <w:t xml:space="preserve"> </w:t>
      </w:r>
      <w:bookmarkEnd w:id="11"/>
      <w:bookmarkEnd w:id="12"/>
      <w:r w:rsidRPr="00995265">
        <w:rPr>
          <w:szCs w:val="24"/>
        </w:rPr>
        <w:t>ТЕХНИЧЕСКИ И ФУНКЦИОНАЛНИ ИЗИСКВАНИЯ</w:t>
      </w:r>
      <w:bookmarkEnd w:id="13"/>
    </w:p>
    <w:p w:rsidR="00B070D8" w:rsidRPr="00167309" w:rsidRDefault="00B070D8" w:rsidP="007070C8">
      <w:pPr>
        <w:numPr>
          <w:ilvl w:val="0"/>
          <w:numId w:val="17"/>
        </w:numPr>
        <w:spacing w:line="276" w:lineRule="auto"/>
        <w:ind w:firstLine="540"/>
        <w:jc w:val="both"/>
      </w:pPr>
      <w:r w:rsidRPr="006A2923">
        <w:t xml:space="preserve">Техническите и функционални изисквания на предлаганите уреди трябва да съответстват на минимум на минималните </w:t>
      </w:r>
      <w:r w:rsidRPr="005748F8">
        <w:t>техническите и функционални изисквания на Възложителя, посочени в Раздел V. Критерии за възлагане на поръчката</w:t>
      </w:r>
      <w:r w:rsidR="00326FEA">
        <w:t>.</w:t>
      </w:r>
      <w:r w:rsidRPr="006A2923">
        <w:t>Предлаган</w:t>
      </w:r>
      <w:r>
        <w:t xml:space="preserve">ият </w:t>
      </w:r>
      <w:r w:rsidRPr="006A2923">
        <w:t>от участника уред трябва да бъде нов, неупотребяван, да е окомплектован  с всички необходими за функционирането му модули, системи, софтуер и аксесоари, с посочени продуктови номера и придружено от съответните каталожни данни и инструкции за експлоатация от производителя на български и/или английски език</w:t>
      </w:r>
      <w:r w:rsidRPr="005748F8">
        <w:t xml:space="preserve"> (</w:t>
      </w:r>
      <w:r w:rsidRPr="00326FEA">
        <w:rPr>
          <w:b/>
          <w:i/>
        </w:rPr>
        <w:t>като е препоръчително да бъдат на английски език</w:t>
      </w:r>
      <w:r w:rsidRPr="005748F8">
        <w:t>)</w:t>
      </w:r>
      <w:r w:rsidRPr="00167309">
        <w:t>.</w:t>
      </w:r>
    </w:p>
    <w:p w:rsidR="00B070D8" w:rsidRPr="00995265" w:rsidRDefault="00B070D8" w:rsidP="007070C8">
      <w:pPr>
        <w:numPr>
          <w:ilvl w:val="0"/>
          <w:numId w:val="17"/>
        </w:numPr>
        <w:spacing w:line="276" w:lineRule="auto"/>
        <w:ind w:firstLine="540"/>
        <w:jc w:val="both"/>
      </w:pPr>
      <w:r w:rsidRPr="00995265">
        <w:t>Предлаган</w:t>
      </w:r>
      <w:r>
        <w:t>ият</w:t>
      </w:r>
      <w:r w:rsidRPr="00995265">
        <w:t xml:space="preserve"> от участника уред трябва да отговаря на европейските и/или международни стандарти за електробезопасност, електромагнитна съвместимост, вибрации, защита от движещи се части и радиационна безопасност (ако изискването за защита от движещи се части и радиационна безопасност е приложимо към съответното оборудване /уред/).</w:t>
      </w:r>
    </w:p>
    <w:p w:rsidR="00B070D8" w:rsidRPr="00577222" w:rsidRDefault="00B070D8" w:rsidP="007070C8">
      <w:pPr>
        <w:numPr>
          <w:ilvl w:val="0"/>
          <w:numId w:val="17"/>
        </w:numPr>
        <w:spacing w:line="276" w:lineRule="auto"/>
        <w:ind w:firstLine="540"/>
        <w:jc w:val="both"/>
      </w:pPr>
      <w:r w:rsidRPr="00995265">
        <w:t>Предлаган</w:t>
      </w:r>
      <w:r>
        <w:t>ият</w:t>
      </w:r>
      <w:r w:rsidRPr="00995265">
        <w:t xml:space="preserve"> от участника </w:t>
      </w:r>
      <w:r>
        <w:t>уред</w:t>
      </w:r>
      <w:r w:rsidRPr="00995265">
        <w:t xml:space="preserve"> трябва да бъде произведен </w:t>
      </w:r>
      <w:r w:rsidRPr="00577222">
        <w:t>от производител, който има оторизиран сервиз на територията на Република България или Европейския съюз, или да има упълномощен представител за Република България или Европейския съюз, чрез който да се осъществява сервиза.</w:t>
      </w:r>
    </w:p>
    <w:p w:rsidR="00365286" w:rsidRDefault="00B070D8" w:rsidP="00365286">
      <w:pPr>
        <w:numPr>
          <w:ilvl w:val="0"/>
          <w:numId w:val="17"/>
        </w:numPr>
        <w:spacing w:line="276" w:lineRule="auto"/>
        <w:ind w:firstLine="540"/>
        <w:jc w:val="both"/>
      </w:pPr>
      <w:r w:rsidRPr="00995265">
        <w:t>Предлаган</w:t>
      </w:r>
      <w:r>
        <w:t>ият</w:t>
      </w:r>
      <w:r w:rsidRPr="00995265">
        <w:t xml:space="preserve"> от участника уред трябва да бъде с осигурен </w:t>
      </w:r>
      <w:r w:rsidRPr="00CA152A">
        <w:t xml:space="preserve">гаранционен сервиз минимум </w:t>
      </w:r>
      <w:r w:rsidR="00683697">
        <w:t>една</w:t>
      </w:r>
      <w:r w:rsidRPr="007A5645">
        <w:t xml:space="preserve"> (</w:t>
      </w:r>
      <w:r w:rsidR="00683697">
        <w:t>1</w:t>
      </w:r>
      <w:r w:rsidRPr="007A5645">
        <w:t>) годин</w:t>
      </w:r>
      <w:r w:rsidR="00683697">
        <w:t>а</w:t>
      </w:r>
      <w:r w:rsidRPr="007A5645">
        <w:t>,</w:t>
      </w:r>
      <w:r w:rsidRPr="00995265">
        <w:t xml:space="preserve"> считано от датата на подписване на протокола за инсталацията, приемните изпитания на място на оборудването и въвеждането му в експлоатация, протокола за проведено обучение и финалния приемно-предавателен протокол за доставки. Гаранционният  сервиз </w:t>
      </w:r>
      <w:r w:rsidR="00365286">
        <w:t>следва да удовлетворява следното</w:t>
      </w:r>
      <w:r w:rsidRPr="00995265">
        <w:t xml:space="preserve"> изискван</w:t>
      </w:r>
      <w:r w:rsidR="00365286">
        <w:t>е</w:t>
      </w:r>
      <w:r w:rsidRPr="00995265">
        <w:t>:</w:t>
      </w:r>
    </w:p>
    <w:p w:rsidR="00B070D8" w:rsidRPr="00365286" w:rsidRDefault="00B070D8" w:rsidP="00365286">
      <w:pPr>
        <w:pStyle w:val="ListParagraph"/>
        <w:numPr>
          <w:ilvl w:val="0"/>
          <w:numId w:val="36"/>
        </w:numPr>
        <w:jc w:val="both"/>
        <w:rPr>
          <w:rFonts w:ascii="Times New Roman" w:hAnsi="Times New Roman"/>
          <w:sz w:val="24"/>
        </w:rPr>
      </w:pPr>
      <w:r w:rsidRPr="00365286">
        <w:rPr>
          <w:rFonts w:ascii="Times New Roman" w:hAnsi="Times New Roman"/>
          <w:sz w:val="24"/>
        </w:rPr>
        <w:t xml:space="preserve">Отстраняване за сметка на Изпълнителя на дефект или повреда на някой от уредите, възникнали при нормалната им експлоатация по време на срока за гаранционен сервиз - в срок до </w:t>
      </w:r>
      <w:r w:rsidR="00880D01" w:rsidRPr="00286FBA">
        <w:rPr>
          <w:rFonts w:ascii="Times New Roman" w:hAnsi="Times New Roman"/>
          <w:sz w:val="24"/>
        </w:rPr>
        <w:t>4</w:t>
      </w:r>
      <w:r w:rsidRPr="00286FBA">
        <w:rPr>
          <w:rFonts w:ascii="Times New Roman" w:hAnsi="Times New Roman"/>
          <w:sz w:val="24"/>
        </w:rPr>
        <w:t>0 (</w:t>
      </w:r>
      <w:r w:rsidR="00880D01" w:rsidRPr="00286FBA">
        <w:rPr>
          <w:rFonts w:ascii="Times New Roman" w:hAnsi="Times New Roman"/>
          <w:sz w:val="24"/>
        </w:rPr>
        <w:t>четири</w:t>
      </w:r>
      <w:r w:rsidRPr="00286FBA">
        <w:rPr>
          <w:rFonts w:ascii="Times New Roman" w:hAnsi="Times New Roman"/>
          <w:sz w:val="24"/>
        </w:rPr>
        <w:t>десет) к</w:t>
      </w:r>
      <w:r w:rsidRPr="00365286">
        <w:rPr>
          <w:rFonts w:ascii="Times New Roman" w:hAnsi="Times New Roman"/>
          <w:sz w:val="24"/>
        </w:rPr>
        <w:t xml:space="preserve">алендарни дни от датата на получаване на уведомление от Възложителя, а когато се налага доставката на резервни части от чужбина – до </w:t>
      </w:r>
      <w:r w:rsidR="00880D01" w:rsidRPr="00286FBA">
        <w:rPr>
          <w:rFonts w:ascii="Times New Roman" w:hAnsi="Times New Roman"/>
          <w:sz w:val="24"/>
        </w:rPr>
        <w:t>5</w:t>
      </w:r>
      <w:r w:rsidRPr="00286FBA">
        <w:rPr>
          <w:rFonts w:ascii="Times New Roman" w:hAnsi="Times New Roman"/>
          <w:sz w:val="24"/>
        </w:rPr>
        <w:t>0 (</w:t>
      </w:r>
      <w:r w:rsidR="00880D01" w:rsidRPr="00286FBA">
        <w:rPr>
          <w:rFonts w:ascii="Times New Roman" w:hAnsi="Times New Roman"/>
          <w:sz w:val="24"/>
        </w:rPr>
        <w:t>петдесет</w:t>
      </w:r>
      <w:r w:rsidRPr="00286FBA">
        <w:rPr>
          <w:rFonts w:ascii="Times New Roman" w:hAnsi="Times New Roman"/>
          <w:sz w:val="24"/>
        </w:rPr>
        <w:t>)</w:t>
      </w:r>
      <w:r w:rsidRPr="00365286">
        <w:rPr>
          <w:rFonts w:ascii="Times New Roman" w:hAnsi="Times New Roman"/>
          <w:sz w:val="24"/>
        </w:rPr>
        <w:t xml:space="preserve"> календарни дни от датата на получаване на уведомление от Възложителя.</w:t>
      </w:r>
    </w:p>
    <w:p w:rsidR="00B070D8" w:rsidRPr="00995265" w:rsidRDefault="00B070D8" w:rsidP="007070C8">
      <w:pPr>
        <w:spacing w:line="276" w:lineRule="auto"/>
        <w:ind w:firstLine="540"/>
        <w:jc w:val="both"/>
      </w:pPr>
      <w:r w:rsidRPr="00995265">
        <w:rPr>
          <w:b/>
        </w:rPr>
        <w:t>2.</w:t>
      </w:r>
      <w:r w:rsidR="005F66DF" w:rsidRPr="00286FBA">
        <w:rPr>
          <w:b/>
        </w:rPr>
        <w:t>5</w:t>
      </w:r>
      <w:r w:rsidRPr="00995265">
        <w:rPr>
          <w:b/>
        </w:rPr>
        <w:t>.</w:t>
      </w:r>
      <w:r>
        <w:t>У</w:t>
      </w:r>
      <w:r w:rsidRPr="00995265">
        <w:t>ред</w:t>
      </w:r>
      <w:r>
        <w:t>ът</w:t>
      </w:r>
      <w:r w:rsidRPr="00995265">
        <w:t xml:space="preserve"> трябва да бъд</w:t>
      </w:r>
      <w:r>
        <w:t>е</w:t>
      </w:r>
      <w:r w:rsidRPr="00995265">
        <w:t xml:space="preserve"> предаден на Възложителя сглобен, с монтирани принадлежности и готов за употреба.</w:t>
      </w:r>
    </w:p>
    <w:p w:rsidR="00B070D8" w:rsidRPr="00995265" w:rsidRDefault="00B070D8" w:rsidP="007070C8">
      <w:pPr>
        <w:pStyle w:val="Heading1"/>
        <w:spacing w:line="276" w:lineRule="auto"/>
        <w:ind w:firstLine="540"/>
        <w:jc w:val="both"/>
        <w:rPr>
          <w:bCs w:val="0"/>
        </w:rPr>
      </w:pPr>
      <w:bookmarkStart w:id="14" w:name="_Toc411430883"/>
      <w:bookmarkStart w:id="15" w:name="_Toc424819528"/>
      <w:bookmarkStart w:id="16" w:name="_Toc445987084"/>
      <w:bookmarkStart w:id="17" w:name="_Toc450982662"/>
      <w:bookmarkStart w:id="18" w:name="_Toc462658440"/>
      <w:bookmarkStart w:id="19" w:name="_Toc465700367"/>
      <w:bookmarkStart w:id="20" w:name="_Toc470107491"/>
      <w:bookmarkStart w:id="21" w:name="_Toc470683305"/>
      <w:bookmarkStart w:id="22" w:name="_Toc486429985"/>
      <w:bookmarkStart w:id="23" w:name="_Toc496542669"/>
      <w:r w:rsidRPr="00995265">
        <w:lastRenderedPageBreak/>
        <w:tab/>
      </w:r>
      <w:bookmarkStart w:id="24" w:name="_Toc3990220"/>
      <w:proofErr w:type="gramStart"/>
      <w:r w:rsidRPr="00995265">
        <w:t>РАЗДЕЛ III.</w:t>
      </w:r>
      <w:proofErr w:type="gramEnd"/>
      <w:r w:rsidRPr="00995265">
        <w:t xml:space="preserve"> ИЗИСКВАНИЯ КЪМ ЛИЧНОТО СЪСТОЯНИЕ НА УЧАСТНИЦИТЕ В ОБЩЕСТВЕНАТА ПОРЪЧКА</w:t>
      </w:r>
      <w:bookmarkEnd w:id="14"/>
      <w:bookmarkEnd w:id="15"/>
      <w:bookmarkEnd w:id="16"/>
      <w:bookmarkEnd w:id="17"/>
      <w:bookmarkEnd w:id="18"/>
      <w:bookmarkEnd w:id="19"/>
      <w:bookmarkEnd w:id="20"/>
      <w:bookmarkEnd w:id="21"/>
      <w:bookmarkEnd w:id="22"/>
      <w:bookmarkEnd w:id="23"/>
      <w:bookmarkEnd w:id="24"/>
    </w:p>
    <w:p w:rsidR="00B070D8" w:rsidRPr="00995265" w:rsidRDefault="00B070D8" w:rsidP="007070C8">
      <w:pPr>
        <w:spacing w:line="276" w:lineRule="auto"/>
        <w:ind w:firstLine="540"/>
        <w:jc w:val="both"/>
      </w:pPr>
    </w:p>
    <w:p w:rsidR="00B070D8" w:rsidRPr="00995265" w:rsidRDefault="00B070D8" w:rsidP="007070C8">
      <w:pPr>
        <w:numPr>
          <w:ilvl w:val="0"/>
          <w:numId w:val="14"/>
        </w:numPr>
        <w:spacing w:line="276" w:lineRule="auto"/>
        <w:ind w:left="0" w:firstLine="540"/>
        <w:jc w:val="both"/>
        <w:rPr>
          <w:b/>
        </w:rPr>
      </w:pPr>
      <w:bookmarkStart w:id="25" w:name="_Toc239445698"/>
      <w:bookmarkStart w:id="26" w:name="_Toc237312751"/>
      <w:r w:rsidRPr="00995265">
        <w:rPr>
          <w:b/>
        </w:rPr>
        <w:t>Общи изисквания</w:t>
      </w:r>
      <w:bookmarkEnd w:id="25"/>
      <w:bookmarkEnd w:id="26"/>
    </w:p>
    <w:p w:rsidR="00B070D8" w:rsidRPr="00995265" w:rsidRDefault="00B070D8" w:rsidP="007070C8">
      <w:pPr>
        <w:spacing w:line="276" w:lineRule="auto"/>
        <w:ind w:firstLine="540"/>
        <w:jc w:val="both"/>
      </w:pPr>
      <w:r w:rsidRPr="00995265">
        <w:tab/>
        <w:t>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както и всяко друго образувание, което има право да изпълнява дейностите, предмет на поръчката и които отговарят на условията на Закона за обществените поръчки (ЗОП) и на изискванията на Възложителя.</w:t>
      </w:r>
    </w:p>
    <w:p w:rsidR="00B070D8" w:rsidRPr="00995265" w:rsidRDefault="00B070D8" w:rsidP="007070C8">
      <w:pPr>
        <w:spacing w:line="276" w:lineRule="auto"/>
        <w:ind w:firstLine="540"/>
        <w:jc w:val="both"/>
        <w:rPr>
          <w:b/>
          <w:u w:val="single"/>
        </w:rPr>
      </w:pPr>
    </w:p>
    <w:p w:rsidR="00B070D8" w:rsidRPr="00995265" w:rsidRDefault="00B070D8" w:rsidP="007070C8">
      <w:pPr>
        <w:spacing w:line="276" w:lineRule="auto"/>
        <w:ind w:firstLine="540"/>
        <w:jc w:val="both"/>
        <w:rPr>
          <w:b/>
          <w:u w:val="single"/>
        </w:rPr>
      </w:pPr>
      <w:r w:rsidRPr="00995265">
        <w:rPr>
          <w:b/>
          <w:u w:val="single"/>
        </w:rPr>
        <w:t>Възложителят не приема за участие в процедурата оферти, които са:</w:t>
      </w:r>
    </w:p>
    <w:p w:rsidR="00B070D8" w:rsidRPr="00995265" w:rsidRDefault="00B070D8" w:rsidP="007070C8">
      <w:pPr>
        <w:numPr>
          <w:ilvl w:val="0"/>
          <w:numId w:val="7"/>
        </w:numPr>
        <w:spacing w:line="276" w:lineRule="auto"/>
        <w:ind w:left="0" w:firstLine="540"/>
        <w:contextualSpacing/>
        <w:jc w:val="both"/>
        <w:rPr>
          <w:i/>
        </w:rPr>
      </w:pPr>
      <w:r w:rsidRPr="00995265">
        <w:rPr>
          <w:i/>
        </w:rPr>
        <w:t>представени след изтичане на крайния срок за получаване или</w:t>
      </w:r>
    </w:p>
    <w:p w:rsidR="00B070D8" w:rsidRPr="00995265" w:rsidRDefault="00B070D8" w:rsidP="007070C8">
      <w:pPr>
        <w:numPr>
          <w:ilvl w:val="0"/>
          <w:numId w:val="7"/>
        </w:numPr>
        <w:spacing w:line="276" w:lineRule="auto"/>
        <w:ind w:left="0" w:firstLine="540"/>
        <w:contextualSpacing/>
        <w:jc w:val="both"/>
        <w:rPr>
          <w:i/>
        </w:rPr>
      </w:pPr>
      <w:r w:rsidRPr="00995265">
        <w:rPr>
          <w:i/>
        </w:rPr>
        <w:t>са в не запечатана опаковка или в опаковка с нарушена цялост.</w:t>
      </w: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pPr>
      <w:r w:rsidRPr="00995265">
        <w:t>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B070D8" w:rsidRPr="00995265" w:rsidRDefault="00B070D8" w:rsidP="007070C8">
      <w:pPr>
        <w:spacing w:line="276" w:lineRule="auto"/>
        <w:ind w:firstLine="540"/>
        <w:jc w:val="both"/>
      </w:pPr>
      <w:r w:rsidRPr="00995265">
        <w:t>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Не се допуска приемане на оферти на лица, които не са включени в списъка по предходното изречение.</w:t>
      </w:r>
    </w:p>
    <w:p w:rsidR="00B070D8" w:rsidRPr="00995265" w:rsidRDefault="00B070D8" w:rsidP="007070C8">
      <w:pPr>
        <w:spacing w:line="276" w:lineRule="auto"/>
        <w:ind w:firstLine="540"/>
        <w:jc w:val="both"/>
      </w:pPr>
      <w:r w:rsidRPr="00995265">
        <w:rPr>
          <w:b/>
        </w:rPr>
        <w:t>Всеки участник може да представи само една оферта</w:t>
      </w:r>
      <w:r w:rsidRPr="00995265">
        <w:t>. Не се допуска участник да участва в офертата на друг участник за същата поръчка под каквато и да е форма.</w:t>
      </w:r>
    </w:p>
    <w:p w:rsidR="00B070D8" w:rsidRPr="00995265" w:rsidRDefault="00B070D8" w:rsidP="007070C8">
      <w:pPr>
        <w:spacing w:line="276" w:lineRule="auto"/>
        <w:ind w:firstLine="540"/>
        <w:jc w:val="both"/>
      </w:pPr>
      <w:r w:rsidRPr="00995265">
        <w:tab/>
        <w:t>Представянето на оферта за участие в настоящата процедура задължава участника да приеме напълно всички изисквания и условия, посочени в документацията за участие, при спазване на Закона за обществените поръчки. Поставянето на различни от тези условия и изисквания от страна на участника не ангажира по никакъв начин Възложителя.</w:t>
      </w:r>
    </w:p>
    <w:p w:rsidR="00B070D8" w:rsidRPr="00995265" w:rsidRDefault="00B070D8" w:rsidP="007070C8">
      <w:pPr>
        <w:spacing w:line="276" w:lineRule="auto"/>
        <w:ind w:firstLine="540"/>
        <w:jc w:val="both"/>
      </w:pPr>
    </w:p>
    <w:p w:rsidR="00B070D8" w:rsidRPr="00995265" w:rsidRDefault="00B070D8" w:rsidP="007070C8">
      <w:pPr>
        <w:numPr>
          <w:ilvl w:val="0"/>
          <w:numId w:val="14"/>
        </w:numPr>
        <w:spacing w:line="276" w:lineRule="auto"/>
        <w:ind w:left="0" w:firstLine="540"/>
        <w:jc w:val="both"/>
        <w:rPr>
          <w:b/>
        </w:rPr>
      </w:pPr>
      <w:r w:rsidRPr="00995265">
        <w:rPr>
          <w:b/>
        </w:rPr>
        <w:t>Лично състояние на участниците. Основания за отстраняване.</w:t>
      </w:r>
    </w:p>
    <w:p w:rsidR="00B070D8" w:rsidRPr="00995265" w:rsidRDefault="00B070D8" w:rsidP="007070C8">
      <w:pPr>
        <w:numPr>
          <w:ilvl w:val="0"/>
          <w:numId w:val="13"/>
        </w:numPr>
        <w:spacing w:line="276" w:lineRule="auto"/>
        <w:ind w:left="0" w:firstLine="540"/>
        <w:jc w:val="both"/>
        <w:rPr>
          <w:i/>
        </w:rPr>
      </w:pPr>
      <w:r w:rsidRPr="00995265">
        <w:rPr>
          <w:i/>
        </w:rPr>
        <w:t>Не може да участва в настоящата процедура и Възложителят отстранява от участие в процедура за възлагане на обществена поръчка кандидат или участник, за който са налице обстоятелствата по чл. 54, ал. 1 от ЗОП, а именно:</w:t>
      </w:r>
    </w:p>
    <w:p w:rsidR="00B070D8" w:rsidRPr="00B46B30" w:rsidRDefault="00B070D8" w:rsidP="007070C8">
      <w:pPr>
        <w:spacing w:line="276" w:lineRule="auto"/>
        <w:ind w:firstLine="540"/>
        <w:jc w:val="both"/>
      </w:pPr>
      <w:r w:rsidRPr="00B46B30">
        <w:t>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B070D8" w:rsidRPr="00B46B30" w:rsidRDefault="00B070D8" w:rsidP="007070C8">
      <w:pPr>
        <w:spacing w:line="276" w:lineRule="auto"/>
        <w:ind w:firstLine="540"/>
        <w:jc w:val="both"/>
      </w:pPr>
      <w:r w:rsidRPr="00B46B30">
        <w:t xml:space="preserve"> 2. е осъден с влязла в сила присъда, за престъпление, аналогично на тези по т. 1, в друга държава членка или трета страна;</w:t>
      </w:r>
    </w:p>
    <w:p w:rsidR="00B070D8" w:rsidRPr="00B46B30" w:rsidRDefault="00B070D8" w:rsidP="007070C8">
      <w:pPr>
        <w:spacing w:line="276" w:lineRule="auto"/>
        <w:ind w:firstLine="540"/>
        <w:jc w:val="both"/>
      </w:pPr>
      <w:r w:rsidRPr="00B46B30">
        <w:t xml:space="preserve">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B070D8" w:rsidRPr="00B46B30" w:rsidRDefault="00B070D8" w:rsidP="007070C8">
      <w:pPr>
        <w:spacing w:line="276" w:lineRule="auto"/>
        <w:ind w:firstLine="540"/>
        <w:jc w:val="both"/>
      </w:pPr>
      <w:r w:rsidRPr="00B46B30">
        <w:t xml:space="preserve"> 4. е налице неравнопоставеност в случаите по чл. 44, ал. 5;</w:t>
      </w:r>
    </w:p>
    <w:p w:rsidR="00B070D8" w:rsidRPr="00B46B30" w:rsidRDefault="00B070D8" w:rsidP="007070C8">
      <w:pPr>
        <w:spacing w:line="276" w:lineRule="auto"/>
        <w:ind w:firstLine="540"/>
        <w:jc w:val="both"/>
      </w:pPr>
      <w:r w:rsidRPr="00B46B30">
        <w:lastRenderedPageBreak/>
        <w:t xml:space="preserve"> 5. е установено, че:</w:t>
      </w:r>
    </w:p>
    <w:p w:rsidR="00B070D8" w:rsidRPr="00B46B30" w:rsidRDefault="00B070D8" w:rsidP="007070C8">
      <w:pPr>
        <w:spacing w:line="276" w:lineRule="auto"/>
        <w:ind w:firstLine="540"/>
        <w:jc w:val="both"/>
      </w:pPr>
      <w:r w:rsidRPr="00B46B30">
        <w:t xml:space="preserve"> 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070D8" w:rsidRPr="00B46B30" w:rsidRDefault="00B070D8" w:rsidP="007070C8">
      <w:pPr>
        <w:spacing w:line="276" w:lineRule="auto"/>
        <w:ind w:firstLine="540"/>
        <w:jc w:val="both"/>
      </w:pPr>
      <w:r w:rsidRPr="00B46B30">
        <w:t xml:space="preserve"> 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070D8" w:rsidRPr="00B46B30" w:rsidRDefault="00B070D8" w:rsidP="007070C8">
      <w:pPr>
        <w:spacing w:line="276" w:lineRule="auto"/>
        <w:ind w:firstLine="540"/>
        <w:jc w:val="both"/>
      </w:pPr>
      <w:r w:rsidRPr="00B46B30">
        <w:t xml:space="preserve"> 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070D8" w:rsidRPr="00995265" w:rsidRDefault="00B070D8" w:rsidP="007070C8">
      <w:pPr>
        <w:spacing w:line="276" w:lineRule="auto"/>
        <w:ind w:firstLine="540"/>
        <w:jc w:val="both"/>
      </w:pPr>
      <w:r w:rsidRPr="00B46B30">
        <w:t xml:space="preserve"> 7. е налице конфликт на интереси, който не може да бъде отстранен.</w:t>
      </w:r>
    </w:p>
    <w:p w:rsidR="00B070D8" w:rsidRPr="00995265" w:rsidRDefault="00B070D8" w:rsidP="007070C8">
      <w:pPr>
        <w:spacing w:line="276" w:lineRule="auto"/>
        <w:ind w:firstLine="540"/>
        <w:jc w:val="both"/>
      </w:pPr>
    </w:p>
    <w:p w:rsidR="00B070D8" w:rsidRPr="00995265" w:rsidRDefault="00B070D8" w:rsidP="007070C8">
      <w:pPr>
        <w:numPr>
          <w:ilvl w:val="0"/>
          <w:numId w:val="13"/>
        </w:numPr>
        <w:spacing w:line="276" w:lineRule="auto"/>
        <w:ind w:left="0" w:firstLine="540"/>
        <w:jc w:val="both"/>
        <w:rPr>
          <w:i/>
        </w:rPr>
      </w:pPr>
      <w:r w:rsidRPr="00995265">
        <w:rPr>
          <w:i/>
        </w:rPr>
        <w:t>Възложителят ще отстрани от участие в процедура за възлагане на обществена поръчка участник, за когото е налице някое от следните обстоятелства, съгласно чл. 55, ал. 1 от ЗОП, а именно:</w:t>
      </w:r>
    </w:p>
    <w:p w:rsidR="00B070D8" w:rsidRPr="00995265" w:rsidRDefault="00B070D8" w:rsidP="007070C8">
      <w:pPr>
        <w:spacing w:line="276" w:lineRule="auto"/>
        <w:ind w:firstLine="540"/>
        <w:jc w:val="both"/>
      </w:pPr>
      <w:r w:rsidRPr="00995265">
        <w:t xml:space="preserve">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B070D8" w:rsidRPr="00995265" w:rsidRDefault="00B070D8" w:rsidP="007070C8">
      <w:pPr>
        <w:spacing w:line="276" w:lineRule="auto"/>
        <w:ind w:firstLine="540"/>
        <w:jc w:val="both"/>
      </w:pPr>
      <w:r w:rsidRPr="00995265">
        <w:t>Възложителят не отстранява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B070D8" w:rsidRPr="00995265" w:rsidRDefault="00B070D8" w:rsidP="007070C8">
      <w:pPr>
        <w:spacing w:line="276" w:lineRule="auto"/>
        <w:ind w:firstLine="540"/>
        <w:jc w:val="both"/>
      </w:pPr>
      <w:r>
        <w:t>2</w:t>
      </w:r>
      <w:r w:rsidRPr="00995265">
        <w:t xml:space="preserve">. сключил е споразумение с други лица с цел нарушаване на конкуренцията, когато нарушението е установено с акт на компетентен орган; </w:t>
      </w:r>
    </w:p>
    <w:p w:rsidR="00B070D8" w:rsidRPr="00995265" w:rsidRDefault="00B070D8" w:rsidP="007070C8">
      <w:pPr>
        <w:spacing w:line="276" w:lineRule="auto"/>
        <w:ind w:firstLine="540"/>
        <w:jc w:val="both"/>
      </w:pPr>
      <w:r>
        <w:t>3</w:t>
      </w:r>
      <w:r w:rsidRPr="00995265">
        <w:t xml:space="preserve">. опитал е да: 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б) получи информация, която може да му даде неоснователно предимство в процедурата за възлагане на обществена поръчка. </w:t>
      </w:r>
    </w:p>
    <w:p w:rsidR="00B070D8" w:rsidRPr="00995265" w:rsidRDefault="00B070D8" w:rsidP="007070C8">
      <w:pPr>
        <w:spacing w:line="276" w:lineRule="auto"/>
        <w:ind w:firstLine="540"/>
        <w:jc w:val="both"/>
      </w:pPr>
      <w:r w:rsidRPr="00995265">
        <w:tab/>
      </w:r>
    </w:p>
    <w:p w:rsidR="0056687F" w:rsidRDefault="00B070D8" w:rsidP="007070C8">
      <w:pPr>
        <w:spacing w:line="276" w:lineRule="auto"/>
        <w:ind w:firstLine="540"/>
        <w:jc w:val="both"/>
      </w:pPr>
      <w:r w:rsidRPr="00995265">
        <w:tab/>
        <w:t>Обстоят</w:t>
      </w:r>
      <w:r>
        <w:t xml:space="preserve">елствата по 2.1, т.1, 2 и 7 и </w:t>
      </w:r>
      <w:r w:rsidRPr="00995265">
        <w:t xml:space="preserve"> 2.2, т. </w:t>
      </w:r>
      <w:r>
        <w:t xml:space="preserve">3 </w:t>
      </w:r>
      <w:r w:rsidRPr="00995265">
        <w:t xml:space="preserve">(съгласно номерацията по-горе)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 лице в състава на негов контролен или управителен орган се представлява от физическо лице по пълномощие, обстоятелствата по 2.1, т.1, 2 и 7 и т. 2.2, т. </w:t>
      </w:r>
      <w:r>
        <w:t xml:space="preserve">3 </w:t>
      </w:r>
      <w:r w:rsidRPr="00995265">
        <w:t>се отнасят и за това физическо лице</w:t>
      </w:r>
      <w:r w:rsidR="00235155">
        <w:t xml:space="preserve">. </w:t>
      </w:r>
    </w:p>
    <w:p w:rsidR="00B070D8" w:rsidRPr="00995265" w:rsidRDefault="00B070D8" w:rsidP="007070C8">
      <w:pPr>
        <w:spacing w:line="276" w:lineRule="auto"/>
        <w:ind w:firstLine="540"/>
        <w:jc w:val="both"/>
      </w:pPr>
      <w:r w:rsidRPr="00995265">
        <w:t>Лицата по чл. 54, ал. 2 и ал. 3 и чл. 55, ал. 3 ЗОП са, както следва:</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при събирателно дружество - лицата по чл. 84, ал. 1 и чл. 89, ал. 1 от Търговския закон;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командитно дружество - неограничено отговорните съдружници по чл. 105 от Търговския закон;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lastRenderedPageBreak/>
        <w:t xml:space="preserve">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акционерно дружество - лицата по чл. 241, ал. 1, чл. 242, ал. 1 и чл. 244, ал. 1 от Търговския закон;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командитно дружество с акции - лицата по чл. 256 от Търговския закон;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едноличен търговец - физическото лице - търговец;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rsidR="00B070D8" w:rsidRPr="001F24BA"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кооперациите - лицата по чл. 20, ал. 1 и чл. 27, ал. 1 от Закона за кооперациите;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при фондациите - лицата по чл. 35, ал. 1 от Закона за юридическите лица с нестопанска цел; </w:t>
      </w:r>
    </w:p>
    <w:p w:rsidR="00B070D8" w:rsidRPr="00900895"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и прокуристите, когато има такива; </w:t>
      </w:r>
    </w:p>
    <w:p w:rsidR="00B070D8" w:rsidRPr="001F24BA" w:rsidRDefault="00B070D8" w:rsidP="007070C8">
      <w:pPr>
        <w:numPr>
          <w:ilvl w:val="0"/>
          <w:numId w:val="25"/>
        </w:numPr>
        <w:spacing w:line="276" w:lineRule="auto"/>
        <w:ind w:left="0" w:firstLine="540"/>
        <w:contextualSpacing/>
        <w:jc w:val="both"/>
        <w:rPr>
          <w:rFonts w:eastAsia="MS ??"/>
        </w:rPr>
      </w:pPr>
      <w:r w:rsidRPr="00900895">
        <w:rPr>
          <w:rFonts w:eastAsia="MS ??"/>
        </w:rPr>
        <w:t xml:space="preserve">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6687F" w:rsidRDefault="0056687F" w:rsidP="007070C8">
      <w:pPr>
        <w:spacing w:line="276" w:lineRule="auto"/>
        <w:ind w:firstLine="540"/>
        <w:jc w:val="both"/>
      </w:pPr>
    </w:p>
    <w:p w:rsidR="00B070D8" w:rsidRPr="00995265" w:rsidRDefault="00B070D8" w:rsidP="007070C8">
      <w:pPr>
        <w:spacing w:line="276" w:lineRule="auto"/>
        <w:ind w:firstLine="540"/>
        <w:jc w:val="both"/>
      </w:pPr>
      <w:r w:rsidRPr="00995265">
        <w:t xml:space="preserve">В случаите,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rsidR="0056687F" w:rsidRDefault="0056687F" w:rsidP="007070C8">
      <w:pPr>
        <w:spacing w:line="276" w:lineRule="auto"/>
        <w:ind w:firstLine="540"/>
        <w:jc w:val="both"/>
      </w:pPr>
    </w:p>
    <w:p w:rsidR="00B070D8" w:rsidRPr="00995265" w:rsidRDefault="00B070D8" w:rsidP="007070C8">
      <w:pPr>
        <w:spacing w:line="276" w:lineRule="auto"/>
        <w:ind w:firstLine="540"/>
        <w:jc w:val="both"/>
      </w:pPr>
      <w:r w:rsidRPr="00995265">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56687F" w:rsidRDefault="0056687F" w:rsidP="007070C8">
      <w:pPr>
        <w:spacing w:line="276" w:lineRule="auto"/>
        <w:ind w:firstLine="540"/>
        <w:jc w:val="both"/>
      </w:pPr>
    </w:p>
    <w:p w:rsidR="00B070D8" w:rsidRPr="00995265" w:rsidRDefault="00B070D8" w:rsidP="007070C8">
      <w:pPr>
        <w:spacing w:line="276" w:lineRule="auto"/>
        <w:ind w:firstLine="540"/>
        <w:jc w:val="both"/>
      </w:pPr>
      <w:r w:rsidRPr="00995265">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rsidR="0056687F" w:rsidRDefault="0056687F" w:rsidP="007070C8">
      <w:pPr>
        <w:spacing w:line="276" w:lineRule="auto"/>
        <w:ind w:firstLine="540"/>
        <w:jc w:val="both"/>
      </w:pPr>
    </w:p>
    <w:p w:rsidR="00B070D8" w:rsidRPr="00995265" w:rsidRDefault="00B070D8" w:rsidP="007070C8">
      <w:pPr>
        <w:spacing w:line="276" w:lineRule="auto"/>
        <w:ind w:firstLine="540"/>
        <w:jc w:val="both"/>
      </w:pPr>
      <w:r w:rsidRPr="00995265">
        <w:t>В ЕЕДОП  могат да се съдържат и обстоятелствата по чл. 54, ал. 1, т. 3 - 6 и чл. 55, ал. 1, т. 1</w:t>
      </w:r>
      <w:r>
        <w:t xml:space="preserve"> и 3</w:t>
      </w:r>
      <w:r w:rsidRPr="00995265">
        <w:t xml:space="preserve">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rsidR="0056687F" w:rsidRDefault="0056687F" w:rsidP="007070C8">
      <w:pPr>
        <w:spacing w:line="276" w:lineRule="auto"/>
        <w:ind w:firstLine="540"/>
        <w:jc w:val="both"/>
      </w:pPr>
    </w:p>
    <w:p w:rsidR="00B070D8" w:rsidRPr="00995265" w:rsidRDefault="00B070D8" w:rsidP="007070C8">
      <w:pPr>
        <w:spacing w:line="276" w:lineRule="auto"/>
        <w:ind w:firstLine="540"/>
        <w:jc w:val="both"/>
      </w:pPr>
      <w:r w:rsidRPr="00995265">
        <w:t>При необходимост от деклариране на обстоятелствата по чл. 54, ал. 1, т. 3 - 6 и чл. 55, ал. 1, т. 1</w:t>
      </w:r>
      <w:r>
        <w:t xml:space="preserve"> и 3</w:t>
      </w:r>
      <w:r w:rsidRPr="00995265">
        <w:t xml:space="preserve">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w:t>
      </w:r>
    </w:p>
    <w:p w:rsidR="00B070D8" w:rsidRPr="00995265" w:rsidRDefault="00B070D8" w:rsidP="007070C8">
      <w:pPr>
        <w:spacing w:line="276" w:lineRule="auto"/>
        <w:ind w:firstLine="540"/>
        <w:jc w:val="both"/>
      </w:pPr>
      <w:r w:rsidRPr="00995265">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56687F" w:rsidRDefault="0056687F" w:rsidP="007070C8">
      <w:pPr>
        <w:spacing w:line="276" w:lineRule="auto"/>
        <w:ind w:firstLine="540"/>
        <w:jc w:val="both"/>
        <w:rPr>
          <w:b/>
        </w:rPr>
      </w:pPr>
    </w:p>
    <w:p w:rsidR="00B070D8" w:rsidRPr="00995265" w:rsidRDefault="00B070D8" w:rsidP="007070C8">
      <w:pPr>
        <w:spacing w:line="276" w:lineRule="auto"/>
        <w:ind w:firstLine="540"/>
        <w:jc w:val="both"/>
        <w:rPr>
          <w:b/>
        </w:rPr>
      </w:pPr>
      <w:r w:rsidRPr="00995265">
        <w:rPr>
          <w:b/>
        </w:rPr>
        <w:t>За удостоверяване на липсата на основания за отстраняване участниците следва да попълнят ЕЕДОП (част III).</w:t>
      </w:r>
    </w:p>
    <w:p w:rsidR="00B070D8" w:rsidRPr="00995265" w:rsidRDefault="00B070D8" w:rsidP="007070C8">
      <w:pPr>
        <w:spacing w:line="276" w:lineRule="auto"/>
        <w:ind w:firstLine="540"/>
        <w:jc w:val="both"/>
        <w:rPr>
          <w:b/>
        </w:rPr>
      </w:pPr>
    </w:p>
    <w:p w:rsidR="00B070D8" w:rsidRPr="00995265" w:rsidRDefault="00B070D8" w:rsidP="007070C8">
      <w:pPr>
        <w:numPr>
          <w:ilvl w:val="0"/>
          <w:numId w:val="13"/>
        </w:numPr>
        <w:spacing w:line="276" w:lineRule="auto"/>
        <w:ind w:left="0" w:firstLine="540"/>
        <w:jc w:val="both"/>
        <w:rPr>
          <w:i/>
        </w:rPr>
      </w:pPr>
      <w:r w:rsidRPr="00995265">
        <w:rPr>
          <w:i/>
        </w:rPr>
        <w:t>Не могат да бъдат самостоятелни участници в тази процедура свързани лица по смисъла на § 2, т. 45 от Допълнителните разпоредби на ЗОП или свързани предприятия по смисъла на § 2, т. 44 от Допълнителните разпоредби на ЗОП.</w:t>
      </w:r>
    </w:p>
    <w:p w:rsidR="00B070D8" w:rsidRPr="00995265" w:rsidRDefault="00B070D8" w:rsidP="007070C8">
      <w:pPr>
        <w:spacing w:line="276" w:lineRule="auto"/>
        <w:ind w:firstLine="540"/>
        <w:jc w:val="both"/>
        <w:rPr>
          <w:i/>
        </w:rPr>
      </w:pPr>
    </w:p>
    <w:p w:rsidR="00B070D8" w:rsidRPr="00995265" w:rsidRDefault="00B070D8" w:rsidP="007070C8">
      <w:pPr>
        <w:numPr>
          <w:ilvl w:val="0"/>
          <w:numId w:val="13"/>
        </w:numPr>
        <w:spacing w:line="276" w:lineRule="auto"/>
        <w:ind w:left="0" w:firstLine="540"/>
        <w:jc w:val="both"/>
        <w:rPr>
          <w:i/>
        </w:rPr>
      </w:pPr>
      <w:r w:rsidRPr="00995265">
        <w:rPr>
          <w:i/>
        </w:rPr>
        <w:t xml:space="preserve">Не може да участва в процедурата и ще бъде отстранено и чуждестранно физическо или юридическо лице, за което в държавата, в която е установено, е налице някое от обстоятелствата по чл. 54, ал. 1, както и по чл. 55, ал. 1 от ЗОП. </w:t>
      </w:r>
    </w:p>
    <w:p w:rsidR="00B070D8" w:rsidRPr="00995265" w:rsidRDefault="00B070D8" w:rsidP="007070C8">
      <w:pPr>
        <w:spacing w:line="276" w:lineRule="auto"/>
        <w:ind w:firstLine="540"/>
        <w:jc w:val="both"/>
        <w:rPr>
          <w:i/>
        </w:rPr>
      </w:pPr>
    </w:p>
    <w:p w:rsidR="00B070D8" w:rsidRPr="00995265" w:rsidRDefault="00B070D8" w:rsidP="007070C8">
      <w:pPr>
        <w:numPr>
          <w:ilvl w:val="0"/>
          <w:numId w:val="13"/>
        </w:numPr>
        <w:spacing w:line="276" w:lineRule="auto"/>
        <w:ind w:left="0" w:firstLine="540"/>
        <w:jc w:val="both"/>
        <w:rPr>
          <w:i/>
        </w:rPr>
      </w:pPr>
      <w:r w:rsidRPr="00995265">
        <w:rPr>
          <w:i/>
        </w:rPr>
        <w:t>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B070D8" w:rsidRPr="00995265" w:rsidRDefault="00B070D8" w:rsidP="007070C8">
      <w:pPr>
        <w:numPr>
          <w:ilvl w:val="0"/>
          <w:numId w:val="13"/>
        </w:numPr>
        <w:spacing w:line="276" w:lineRule="auto"/>
        <w:ind w:left="0" w:firstLine="540"/>
        <w:jc w:val="both"/>
        <w:rPr>
          <w:i/>
        </w:rPr>
      </w:pPr>
      <w:r w:rsidRPr="00995265">
        <w:rPr>
          <w:i/>
        </w:rPr>
        <w:t xml:space="preserve"> Не могат да участват в процедурата за възлагане на настоящата обществена поръчка участници, за които са налице обстоятелства по чл. 69 от Закона за противодействие на корупцията и за отнемане на незаконно придобитото имущество.“</w:t>
      </w:r>
    </w:p>
    <w:p w:rsidR="00B070D8" w:rsidRPr="00995265" w:rsidRDefault="00B070D8" w:rsidP="007070C8">
      <w:pPr>
        <w:spacing w:line="276" w:lineRule="auto"/>
        <w:ind w:firstLine="540"/>
        <w:jc w:val="both"/>
      </w:pPr>
    </w:p>
    <w:p w:rsidR="00B070D8" w:rsidRPr="00995265" w:rsidRDefault="00B070D8" w:rsidP="007070C8">
      <w:pPr>
        <w:spacing w:line="276" w:lineRule="auto"/>
        <w:ind w:firstLine="540"/>
        <w:jc w:val="both"/>
      </w:pPr>
      <w:r w:rsidRPr="00995265">
        <w:t>Обстоятелствата по т. 2.3, 2.4, 2.5. и 2.6 се доказват, като участникът предостави (декларира) в част III, буква „Г“ от Единния европейски документ за обществени поръчки  (ЕЕДОП) липсата или наличието на посочените основания. При подаване на офертата участникът декларира липсата на основанията за отстраняване и съответствие с критериите за подбор със Стандартния образец за единния европейски документ за обществени поръчки (ЕЕДОП). В него се предоставя съответната информация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за тези обстоятелства служебно на Възложителя.</w:t>
      </w:r>
    </w:p>
    <w:p w:rsidR="00B070D8" w:rsidRPr="00995265" w:rsidRDefault="00B070D8" w:rsidP="007070C8">
      <w:pPr>
        <w:spacing w:line="276" w:lineRule="auto"/>
        <w:ind w:firstLine="540"/>
        <w:jc w:val="both"/>
      </w:pPr>
    </w:p>
    <w:p w:rsidR="00B070D8" w:rsidRPr="00995265" w:rsidRDefault="00B070D8" w:rsidP="007070C8">
      <w:pPr>
        <w:numPr>
          <w:ilvl w:val="0"/>
          <w:numId w:val="14"/>
        </w:numPr>
        <w:spacing w:line="276" w:lineRule="auto"/>
        <w:ind w:left="0" w:firstLine="540"/>
        <w:jc w:val="both"/>
        <w:rPr>
          <w:b/>
        </w:rPr>
      </w:pPr>
      <w:r w:rsidRPr="00995265">
        <w:rPr>
          <w:b/>
        </w:rPr>
        <w:t>Използване капацитета на трети лица.</w:t>
      </w:r>
    </w:p>
    <w:p w:rsidR="00B070D8" w:rsidRPr="00995265" w:rsidRDefault="00B070D8" w:rsidP="007070C8">
      <w:pPr>
        <w:spacing w:line="276" w:lineRule="auto"/>
        <w:ind w:firstLine="540"/>
        <w:jc w:val="both"/>
        <w:textAlignment w:val="center"/>
      </w:pPr>
      <w:r w:rsidRPr="00995265">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B070D8" w:rsidRPr="00995265" w:rsidRDefault="00B070D8" w:rsidP="007070C8">
      <w:pPr>
        <w:spacing w:line="276" w:lineRule="auto"/>
        <w:ind w:firstLine="540"/>
        <w:jc w:val="both"/>
        <w:textAlignment w:val="center"/>
      </w:pPr>
      <w:r w:rsidRPr="00995265">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B070D8" w:rsidRPr="00995265" w:rsidRDefault="00B070D8" w:rsidP="007070C8">
      <w:pPr>
        <w:spacing w:line="276" w:lineRule="auto"/>
        <w:ind w:firstLine="540"/>
        <w:jc w:val="both"/>
        <w:textAlignment w:val="center"/>
      </w:pPr>
      <w:r w:rsidRPr="00995265">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B070D8" w:rsidRPr="00995265" w:rsidRDefault="00B070D8" w:rsidP="007070C8">
      <w:pPr>
        <w:spacing w:line="276" w:lineRule="auto"/>
        <w:ind w:firstLine="540"/>
        <w:jc w:val="both"/>
        <w:textAlignment w:val="center"/>
      </w:pPr>
      <w:r w:rsidRPr="00995265">
        <w:lastRenderedPageBreak/>
        <w:t xml:space="preserve">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p>
    <w:p w:rsidR="00B070D8" w:rsidRPr="00995265" w:rsidRDefault="00B070D8" w:rsidP="007070C8">
      <w:pPr>
        <w:spacing w:line="276" w:lineRule="auto"/>
        <w:ind w:firstLine="540"/>
        <w:jc w:val="both"/>
        <w:textAlignment w:val="center"/>
      </w:pPr>
      <w:r w:rsidRPr="00995265">
        <w:t xml:space="preserve">Възложителят изисква от участника да замени посоченото от него трето лице, ако то не отговаря на някое от условията на чл. 65, ал. 4 от ЗОП, поради промяна в обстоятелства преди сключване на договора за обществена поръчка. </w:t>
      </w:r>
    </w:p>
    <w:p w:rsidR="00B070D8" w:rsidRPr="00995265" w:rsidRDefault="00B070D8" w:rsidP="007070C8">
      <w:pPr>
        <w:spacing w:line="276" w:lineRule="auto"/>
        <w:ind w:firstLine="540"/>
        <w:jc w:val="both"/>
        <w:textAlignment w:val="center"/>
      </w:pPr>
      <w:r w:rsidRPr="00995265">
        <w:t xml:space="preserve">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B070D8" w:rsidRPr="00995265" w:rsidRDefault="00B070D8" w:rsidP="007070C8">
      <w:pPr>
        <w:spacing w:line="276" w:lineRule="auto"/>
        <w:ind w:firstLine="540"/>
        <w:jc w:val="both"/>
        <w:textAlignment w:val="center"/>
      </w:pPr>
      <w:r w:rsidRPr="00995265">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от ЗОП.</w:t>
      </w:r>
    </w:p>
    <w:p w:rsidR="00B070D8" w:rsidRPr="00995265" w:rsidRDefault="00B070D8" w:rsidP="007070C8">
      <w:pPr>
        <w:spacing w:line="276" w:lineRule="auto"/>
        <w:ind w:firstLine="540"/>
        <w:jc w:val="both"/>
        <w:textAlignment w:val="center"/>
      </w:pPr>
    </w:p>
    <w:p w:rsidR="00B070D8" w:rsidRPr="00995265" w:rsidRDefault="00B070D8" w:rsidP="007070C8">
      <w:pPr>
        <w:numPr>
          <w:ilvl w:val="0"/>
          <w:numId w:val="14"/>
        </w:numPr>
        <w:spacing w:line="276" w:lineRule="auto"/>
        <w:ind w:firstLine="540"/>
        <w:jc w:val="both"/>
        <w:rPr>
          <w:b/>
        </w:rPr>
      </w:pPr>
      <w:r w:rsidRPr="00995265">
        <w:rPr>
          <w:b/>
        </w:rPr>
        <w:t>Подизпълнители</w:t>
      </w:r>
    </w:p>
    <w:p w:rsidR="00B070D8" w:rsidRPr="00995265" w:rsidRDefault="00B070D8" w:rsidP="007070C8">
      <w:pPr>
        <w:spacing w:line="276" w:lineRule="auto"/>
        <w:ind w:firstLine="540"/>
        <w:jc w:val="both"/>
      </w:pPr>
      <w:r w:rsidRPr="00995265">
        <w:t xml:space="preserve">Участниците посочват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B070D8" w:rsidRPr="00995265" w:rsidRDefault="00B070D8" w:rsidP="007070C8">
      <w:pPr>
        <w:spacing w:line="276" w:lineRule="auto"/>
        <w:ind w:firstLine="540"/>
        <w:jc w:val="both"/>
      </w:pPr>
      <w:r w:rsidRPr="00995265">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B070D8" w:rsidRPr="00995265" w:rsidRDefault="00B070D8" w:rsidP="007070C8">
      <w:pPr>
        <w:spacing w:line="276" w:lineRule="auto"/>
        <w:ind w:firstLine="540"/>
        <w:jc w:val="both"/>
      </w:pPr>
      <w:r w:rsidRPr="00995265">
        <w:t xml:space="preserve">Изпълнителите сключват договор за подизпълнение с подизпълнителите, посочени в офертата. </w:t>
      </w:r>
    </w:p>
    <w:p w:rsidR="00B070D8" w:rsidRPr="00995265" w:rsidRDefault="00B070D8" w:rsidP="007070C8">
      <w:pPr>
        <w:spacing w:line="276" w:lineRule="auto"/>
        <w:ind w:firstLine="540"/>
        <w:jc w:val="both"/>
      </w:pPr>
      <w:r w:rsidRPr="00995265">
        <w:t xml:space="preserve">Възложителят изисква замяна на подизпълнител, който не отговаря на някое от условията по чл. 66, ал. 2 от ЗОП поради промяна в обстоятелствата преди сключване на договора за обществена поръчка. </w:t>
      </w:r>
    </w:p>
    <w:p w:rsidR="00B070D8" w:rsidRPr="00995265" w:rsidRDefault="00B070D8" w:rsidP="007070C8">
      <w:pPr>
        <w:spacing w:line="276" w:lineRule="auto"/>
        <w:ind w:firstLine="540"/>
        <w:jc w:val="both"/>
      </w:pPr>
      <w:r w:rsidRPr="00995265">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B070D8" w:rsidRPr="00995265" w:rsidRDefault="00B070D8" w:rsidP="007070C8">
      <w:pPr>
        <w:spacing w:line="276" w:lineRule="auto"/>
        <w:ind w:firstLine="540"/>
        <w:jc w:val="both"/>
      </w:pPr>
      <w:r w:rsidRPr="00995265">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 Приложимите правила относно директните разплащания с подизпълнители се посочват в документацията за обществената поръчка и в договора за възлагане на поръчката. </w:t>
      </w:r>
    </w:p>
    <w:p w:rsidR="00B070D8" w:rsidRPr="00995265" w:rsidRDefault="00B070D8" w:rsidP="007070C8">
      <w:pPr>
        <w:spacing w:line="276" w:lineRule="auto"/>
        <w:ind w:firstLine="540"/>
        <w:jc w:val="both"/>
      </w:pPr>
      <w:r w:rsidRPr="00995265">
        <w:t xml:space="preserve"> Независимо от възможността за използване на подизпълнители отговорността за изпълнение на договора за обществена поръчка е на изпълнителя. </w:t>
      </w:r>
    </w:p>
    <w:p w:rsidR="00B070D8" w:rsidRPr="00995265" w:rsidRDefault="00B070D8" w:rsidP="007070C8">
      <w:pPr>
        <w:spacing w:line="276" w:lineRule="auto"/>
        <w:ind w:firstLine="540"/>
        <w:jc w:val="both"/>
      </w:pPr>
      <w:r w:rsidRPr="00995265">
        <w:t xml:space="preserve">Изпълнителят уведомява възложителя за всякакви промени в предоставената информация в хода на изпълнението на поръчката. </w:t>
      </w:r>
    </w:p>
    <w:p w:rsidR="00B070D8" w:rsidRPr="00995265" w:rsidRDefault="00B070D8" w:rsidP="007070C8">
      <w:pPr>
        <w:spacing w:line="276" w:lineRule="auto"/>
        <w:ind w:firstLine="540"/>
        <w:jc w:val="both"/>
      </w:pPr>
      <w:r w:rsidRPr="00995265">
        <w:lastRenderedPageBreak/>
        <w:t xml:space="preserve">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rsidR="00B070D8" w:rsidRPr="00995265" w:rsidRDefault="00B070D8" w:rsidP="007070C8">
      <w:pPr>
        <w:spacing w:line="276" w:lineRule="auto"/>
        <w:ind w:firstLine="540"/>
        <w:jc w:val="both"/>
      </w:pPr>
      <w:r w:rsidRPr="00995265">
        <w:t xml:space="preserve"> 1. за новия подизпълнител не са налице основанията за отстраняване в процедурата; </w:t>
      </w:r>
    </w:p>
    <w:p w:rsidR="00B070D8" w:rsidRPr="00995265" w:rsidRDefault="00B070D8" w:rsidP="007070C8">
      <w:pPr>
        <w:spacing w:line="276" w:lineRule="auto"/>
        <w:ind w:firstLine="540"/>
        <w:jc w:val="both"/>
      </w:pPr>
      <w:r w:rsidRPr="00995265">
        <w:t xml:space="preserve"> 2. новият подизпълнител отговаря на критериите за подбор по отношение на дела и вида на дейностите, които ще изпълнява. </w:t>
      </w:r>
    </w:p>
    <w:p w:rsidR="00B070D8" w:rsidRPr="00995265" w:rsidRDefault="00B070D8" w:rsidP="007070C8">
      <w:pPr>
        <w:spacing w:line="276" w:lineRule="auto"/>
        <w:ind w:firstLine="540"/>
        <w:jc w:val="both"/>
        <w:rPr>
          <w:b/>
        </w:rPr>
      </w:pPr>
      <w:r w:rsidRPr="00995265">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66, ал. 14 от ЗОП, в срок до три дни от неговото сключване.</w:t>
      </w:r>
      <w:r w:rsidRPr="00995265">
        <w:rPr>
          <w:b/>
        </w:rPr>
        <w:tab/>
      </w:r>
    </w:p>
    <w:p w:rsidR="00B070D8" w:rsidRPr="00995265" w:rsidRDefault="00B070D8" w:rsidP="007070C8">
      <w:pPr>
        <w:spacing w:line="276" w:lineRule="auto"/>
        <w:ind w:firstLine="540"/>
        <w:jc w:val="both"/>
        <w:rPr>
          <w:b/>
        </w:rPr>
      </w:pPr>
      <w:r w:rsidRPr="00995265">
        <w:rPr>
          <w:b/>
        </w:rPr>
        <w:t>В случай, че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съдържащ информацията по чл.67, ал.1 от ЗОП.</w:t>
      </w:r>
    </w:p>
    <w:p w:rsidR="00B070D8" w:rsidRPr="00995265" w:rsidRDefault="00B070D8" w:rsidP="007070C8">
      <w:pPr>
        <w:spacing w:line="276" w:lineRule="auto"/>
        <w:ind w:firstLine="540"/>
        <w:jc w:val="both"/>
        <w:rPr>
          <w:b/>
        </w:rPr>
      </w:pPr>
    </w:p>
    <w:p w:rsidR="00B070D8" w:rsidRPr="00995265" w:rsidRDefault="00B070D8" w:rsidP="007070C8">
      <w:pPr>
        <w:numPr>
          <w:ilvl w:val="0"/>
          <w:numId w:val="14"/>
        </w:numPr>
        <w:spacing w:line="276" w:lineRule="auto"/>
        <w:ind w:firstLine="540"/>
        <w:jc w:val="both"/>
        <w:rPr>
          <w:b/>
        </w:rPr>
      </w:pPr>
      <w:r w:rsidRPr="00995265">
        <w:rPr>
          <w:b/>
        </w:rPr>
        <w:t>Обединения</w:t>
      </w:r>
    </w:p>
    <w:p w:rsidR="00B070D8" w:rsidRPr="00995265" w:rsidRDefault="00B070D8" w:rsidP="007070C8">
      <w:pPr>
        <w:spacing w:line="276" w:lineRule="auto"/>
        <w:ind w:firstLine="540"/>
        <w:jc w:val="both"/>
        <w:rPr>
          <w:b/>
        </w:rPr>
      </w:pPr>
      <w:r w:rsidRPr="00995265">
        <w:tab/>
        <w:t xml:space="preserve">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B070D8" w:rsidRPr="00995265" w:rsidRDefault="00B070D8" w:rsidP="007070C8">
      <w:pPr>
        <w:autoSpaceDE w:val="0"/>
        <w:autoSpaceDN w:val="0"/>
        <w:adjustRightInd w:val="0"/>
        <w:spacing w:line="276" w:lineRule="auto"/>
        <w:ind w:firstLine="540"/>
        <w:jc w:val="both"/>
      </w:pPr>
      <w:r w:rsidRPr="00995265">
        <w:rPr>
          <w:b/>
        </w:rPr>
        <w:tab/>
      </w:r>
      <w:r w:rsidRPr="00995265">
        <w:t xml:space="preserve">Участник - обединение, което не е юридическо лице,  трябва да представи копие от документ за създаване на обединението, както и следната информация във връзка с конкретната обществена поръчка: </w:t>
      </w:r>
    </w:p>
    <w:p w:rsidR="00B070D8" w:rsidRPr="00995265" w:rsidRDefault="009637C0" w:rsidP="007070C8">
      <w:pPr>
        <w:autoSpaceDE w:val="0"/>
        <w:autoSpaceDN w:val="0"/>
        <w:adjustRightInd w:val="0"/>
        <w:spacing w:line="276" w:lineRule="auto"/>
        <w:ind w:firstLine="540"/>
        <w:jc w:val="both"/>
      </w:pPr>
      <w:r>
        <w:t xml:space="preserve">1. </w:t>
      </w:r>
      <w:r w:rsidR="00B070D8" w:rsidRPr="00995265">
        <w:t xml:space="preserve">правата и задълженията на участниците в обединението; </w:t>
      </w:r>
    </w:p>
    <w:p w:rsidR="00B070D8" w:rsidRPr="00995265" w:rsidRDefault="009637C0" w:rsidP="007070C8">
      <w:pPr>
        <w:autoSpaceDE w:val="0"/>
        <w:autoSpaceDN w:val="0"/>
        <w:adjustRightInd w:val="0"/>
        <w:spacing w:line="276" w:lineRule="auto"/>
        <w:ind w:firstLine="540"/>
        <w:jc w:val="both"/>
      </w:pPr>
      <w:r>
        <w:t xml:space="preserve">2. </w:t>
      </w:r>
      <w:r w:rsidR="00B070D8" w:rsidRPr="00995265">
        <w:t xml:space="preserve">разпределението на отговорността между членовете на обединението; </w:t>
      </w:r>
    </w:p>
    <w:p w:rsidR="00B070D8" w:rsidRPr="00995265" w:rsidRDefault="00B070D8" w:rsidP="007070C8">
      <w:pPr>
        <w:autoSpaceDE w:val="0"/>
        <w:autoSpaceDN w:val="0"/>
        <w:adjustRightInd w:val="0"/>
        <w:spacing w:line="276" w:lineRule="auto"/>
        <w:ind w:firstLine="540"/>
        <w:jc w:val="both"/>
      </w:pPr>
      <w:r w:rsidRPr="00995265">
        <w:t>3. дейностите, които ще изпълнява всеки член на обединението.</w:t>
      </w:r>
      <w:r w:rsidRPr="00995265">
        <w:tab/>
      </w:r>
    </w:p>
    <w:p w:rsidR="00B070D8" w:rsidRPr="00995265" w:rsidRDefault="00B070D8" w:rsidP="007070C8">
      <w:pPr>
        <w:autoSpaceDE w:val="0"/>
        <w:autoSpaceDN w:val="0"/>
        <w:adjustRightInd w:val="0"/>
        <w:spacing w:line="276" w:lineRule="auto"/>
        <w:ind w:firstLine="540"/>
        <w:jc w:val="both"/>
      </w:pPr>
      <w:r w:rsidRPr="00995265">
        <w:t xml:space="preserve">Следва да е определен партньор, който да представлява обединението за целите на обществената поръчка, както и да е уговорена изрично солидарна отговорност, когато такава не е предвидена съгласно приложимото законодателство. </w:t>
      </w:r>
    </w:p>
    <w:p w:rsidR="00B070D8" w:rsidRPr="00995265" w:rsidRDefault="00B070D8" w:rsidP="007070C8">
      <w:pPr>
        <w:autoSpaceDE w:val="0"/>
        <w:autoSpaceDN w:val="0"/>
        <w:adjustRightInd w:val="0"/>
        <w:spacing w:line="276" w:lineRule="auto"/>
        <w:ind w:firstLine="540"/>
        <w:jc w:val="both"/>
      </w:pPr>
      <w:r w:rsidRPr="00995265">
        <w:tab/>
      </w:r>
      <w:r w:rsidRPr="00995265">
        <w:rPr>
          <w:b/>
          <w:i/>
        </w:rPr>
        <w:t>Забележка:</w:t>
      </w:r>
      <w:r w:rsidRPr="00995265">
        <w:rPr>
          <w:i/>
        </w:rPr>
        <w:t>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B070D8" w:rsidRPr="00995265" w:rsidRDefault="00B070D8" w:rsidP="007070C8">
      <w:pPr>
        <w:autoSpaceDE w:val="0"/>
        <w:autoSpaceDN w:val="0"/>
        <w:adjustRightInd w:val="0"/>
        <w:spacing w:line="276" w:lineRule="auto"/>
        <w:ind w:firstLine="540"/>
        <w:jc w:val="both"/>
      </w:pPr>
      <w:r w:rsidRPr="00995265">
        <w:tab/>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B070D8" w:rsidRDefault="00B070D8" w:rsidP="007070C8">
      <w:pPr>
        <w:autoSpaceDE w:val="0"/>
        <w:autoSpaceDN w:val="0"/>
        <w:adjustRightInd w:val="0"/>
        <w:spacing w:line="276" w:lineRule="auto"/>
        <w:ind w:firstLine="540"/>
        <w:jc w:val="both"/>
        <w:rPr>
          <w:b/>
          <w:lang w:val="en-US"/>
        </w:rPr>
      </w:pPr>
      <w:r w:rsidRPr="00995265">
        <w:tab/>
      </w:r>
      <w:r w:rsidRPr="00995265">
        <w:rPr>
          <w:b/>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C158BE" w:rsidRDefault="00C158BE" w:rsidP="007070C8">
      <w:pPr>
        <w:autoSpaceDE w:val="0"/>
        <w:autoSpaceDN w:val="0"/>
        <w:adjustRightInd w:val="0"/>
        <w:spacing w:line="276" w:lineRule="auto"/>
        <w:ind w:firstLine="540"/>
        <w:jc w:val="both"/>
        <w:rPr>
          <w:b/>
          <w:lang w:val="en-US"/>
        </w:rPr>
      </w:pPr>
    </w:p>
    <w:p w:rsidR="00C158BE" w:rsidRDefault="00C158BE" w:rsidP="007070C8">
      <w:pPr>
        <w:autoSpaceDE w:val="0"/>
        <w:autoSpaceDN w:val="0"/>
        <w:adjustRightInd w:val="0"/>
        <w:spacing w:line="276" w:lineRule="auto"/>
        <w:ind w:firstLine="540"/>
        <w:jc w:val="both"/>
        <w:rPr>
          <w:b/>
          <w:lang w:val="en-US"/>
        </w:rPr>
      </w:pPr>
    </w:p>
    <w:p w:rsidR="00C158BE" w:rsidRPr="00C158BE" w:rsidRDefault="00C158BE" w:rsidP="007070C8">
      <w:pPr>
        <w:autoSpaceDE w:val="0"/>
        <w:autoSpaceDN w:val="0"/>
        <w:adjustRightInd w:val="0"/>
        <w:spacing w:line="276" w:lineRule="auto"/>
        <w:ind w:firstLine="540"/>
        <w:jc w:val="both"/>
        <w:rPr>
          <w:b/>
          <w:lang w:val="en-US"/>
        </w:rPr>
      </w:pPr>
    </w:p>
    <w:p w:rsidR="00B070D8" w:rsidRPr="00995265" w:rsidRDefault="00B070D8" w:rsidP="007070C8">
      <w:pPr>
        <w:pStyle w:val="Heading1"/>
        <w:spacing w:line="276" w:lineRule="auto"/>
        <w:ind w:firstLine="540"/>
        <w:jc w:val="both"/>
      </w:pPr>
      <w:r w:rsidRPr="00995265">
        <w:lastRenderedPageBreak/>
        <w:tab/>
      </w:r>
      <w:bookmarkStart w:id="27" w:name="_Toc3990221"/>
      <w:proofErr w:type="gramStart"/>
      <w:r w:rsidRPr="00995265">
        <w:t>РАЗДЕЛ IV.</w:t>
      </w:r>
      <w:proofErr w:type="gramEnd"/>
      <w:r w:rsidRPr="00995265">
        <w:t xml:space="preserve"> КРИТЕРИИ ЗА ПОДБОР</w:t>
      </w:r>
      <w:bookmarkEnd w:id="27"/>
    </w:p>
    <w:p w:rsidR="00B070D8" w:rsidRPr="00995265" w:rsidRDefault="00B070D8" w:rsidP="007070C8">
      <w:pPr>
        <w:spacing w:line="276" w:lineRule="auto"/>
        <w:ind w:firstLine="540"/>
        <w:jc w:val="both"/>
        <w:rPr>
          <w:b/>
        </w:rPr>
      </w:pPr>
    </w:p>
    <w:p w:rsidR="00B070D8" w:rsidRPr="00995265" w:rsidRDefault="00B070D8" w:rsidP="007070C8">
      <w:pPr>
        <w:numPr>
          <w:ilvl w:val="0"/>
          <w:numId w:val="15"/>
        </w:numPr>
        <w:spacing w:line="276" w:lineRule="auto"/>
        <w:ind w:firstLine="540"/>
        <w:jc w:val="both"/>
        <w:rPr>
          <w:b/>
          <w:caps/>
        </w:rPr>
      </w:pPr>
      <w:bookmarkStart w:id="28" w:name="_Toc450982663"/>
      <w:bookmarkStart w:id="29" w:name="_Toc462658441"/>
      <w:bookmarkStart w:id="30" w:name="_Toc465700368"/>
      <w:bookmarkStart w:id="31" w:name="_Toc470107492"/>
      <w:bookmarkStart w:id="32" w:name="_Toc470683306"/>
      <w:bookmarkStart w:id="33" w:name="_Toc486429986"/>
      <w:bookmarkStart w:id="34" w:name="_Toc496542670"/>
      <w:r w:rsidRPr="00995265">
        <w:rPr>
          <w:b/>
        </w:rPr>
        <w:t>Икономическо и финансово състояние</w:t>
      </w:r>
      <w:bookmarkEnd w:id="28"/>
      <w:bookmarkEnd w:id="29"/>
      <w:bookmarkEnd w:id="30"/>
      <w:bookmarkEnd w:id="31"/>
      <w:bookmarkEnd w:id="32"/>
      <w:bookmarkEnd w:id="33"/>
      <w:bookmarkEnd w:id="34"/>
    </w:p>
    <w:p w:rsidR="000D7F23" w:rsidRPr="003F1026" w:rsidRDefault="00B070D8" w:rsidP="000D7F23">
      <w:pPr>
        <w:spacing w:line="276" w:lineRule="auto"/>
        <w:ind w:firstLine="540"/>
        <w:contextualSpacing/>
        <w:jc w:val="both"/>
      </w:pPr>
      <w:r w:rsidRPr="00995265">
        <w:t xml:space="preserve">Участникът трябва да е реализирал </w:t>
      </w:r>
      <w:r w:rsidRPr="00995265">
        <w:rPr>
          <w:color w:val="000000"/>
        </w:rPr>
        <w:t>минимален оборот в сферата, попадаща в обхвата на поръчката</w:t>
      </w:r>
      <w:r w:rsidRPr="00995265">
        <w:t>,</w:t>
      </w:r>
      <w:r w:rsidRPr="004A0260">
        <w:t xml:space="preserve">а именно: доставка на </w:t>
      </w:r>
      <w:r w:rsidR="001516E6">
        <w:t>лабораторно оборудване</w:t>
      </w:r>
      <w:r w:rsidRPr="004A0260">
        <w:t>, в т. ч. дейностите по монтаж, обучение за работа с него и гаранционно</w:t>
      </w:r>
      <w:r>
        <w:t>то му</w:t>
      </w:r>
      <w:r w:rsidRPr="004A0260">
        <w:t xml:space="preserve"> обслужване</w:t>
      </w:r>
      <w:r w:rsidRPr="00995265">
        <w:t xml:space="preserve"> изчислен на база годишните обороти за последните </w:t>
      </w:r>
      <w:r w:rsidRPr="00995265">
        <w:rPr>
          <w:color w:val="000000"/>
        </w:rPr>
        <w:t xml:space="preserve">три приключили финансови години, в зависимост от </w:t>
      </w:r>
      <w:r w:rsidRPr="003F1026">
        <w:t>датата, на която участникът е създаден или е започнал дейността си, в</w:t>
      </w:r>
      <w:r w:rsidR="00B575D3">
        <w:rPr>
          <w:lang w:val="en-US"/>
        </w:rPr>
        <w:t xml:space="preserve"> </w:t>
      </w:r>
      <w:r w:rsidR="009637C0" w:rsidRPr="003F1026">
        <w:t xml:space="preserve">размер </w:t>
      </w:r>
      <w:r w:rsidRPr="003F1026">
        <w:t xml:space="preserve">на </w:t>
      </w:r>
      <w:r w:rsidR="00D22099" w:rsidRPr="00D22099">
        <w:t>120 500 (сто и двадесет хиляди и петстотин</w:t>
      </w:r>
      <w:r w:rsidR="00D22099">
        <w:t>)</w:t>
      </w:r>
      <w:r w:rsidR="00D22099" w:rsidRPr="00D22099">
        <w:t xml:space="preserve"> лева</w:t>
      </w:r>
      <w:r w:rsidR="00DE08B1">
        <w:t>.</w:t>
      </w:r>
    </w:p>
    <w:p w:rsidR="00B070D8" w:rsidRPr="009637C0" w:rsidRDefault="00B070D8" w:rsidP="000D7F23">
      <w:pPr>
        <w:spacing w:line="276" w:lineRule="auto"/>
        <w:ind w:firstLine="540"/>
        <w:contextualSpacing/>
        <w:jc w:val="both"/>
      </w:pPr>
      <w:r w:rsidRPr="00995265">
        <w:rPr>
          <w:b/>
          <w:color w:val="000000"/>
        </w:rPr>
        <w:tab/>
      </w:r>
      <w:r w:rsidRPr="009637C0">
        <w:rPr>
          <w:b/>
          <w:u w:val="single"/>
        </w:rPr>
        <w:t>За удостоверяване съответствието</w:t>
      </w:r>
      <w:r w:rsidRPr="009637C0">
        <w:t xml:space="preserve"> си с горното изискване участниците попълват част IV, буква „Б“ в ЕЕДОП, където представят информация за реализирания минимален оборот в сферата, попадаща в обхвата на поръчката, за последните три приключили финансови години в зависимост от датата, на която участникът е създаден или е започнал дейността си.</w:t>
      </w:r>
    </w:p>
    <w:p w:rsidR="00B070D8" w:rsidRPr="009637C0" w:rsidRDefault="00B070D8" w:rsidP="007070C8">
      <w:pPr>
        <w:shd w:val="clear" w:color="auto" w:fill="FFFFFF"/>
        <w:spacing w:line="276" w:lineRule="auto"/>
        <w:ind w:firstLine="540"/>
        <w:jc w:val="both"/>
      </w:pPr>
    </w:p>
    <w:p w:rsidR="00B070D8" w:rsidRPr="009637C0" w:rsidRDefault="00B070D8" w:rsidP="007070C8">
      <w:pPr>
        <w:shd w:val="clear" w:color="auto" w:fill="FFFFFF"/>
        <w:spacing w:line="276" w:lineRule="auto"/>
        <w:ind w:firstLine="540"/>
        <w:jc w:val="both"/>
      </w:pPr>
      <w:r w:rsidRPr="009637C0">
        <w:rPr>
          <w:b/>
          <w:u w:val="single"/>
        </w:rPr>
        <w:t>Доказване на посоченото изискване:</w:t>
      </w:r>
      <w:r w:rsidRPr="009637C0">
        <w:t xml:space="preserve"> Участникът, определен за изпълнител, представя преди сключване на договора, съгласно чл. 67, ал. 6 от ЗОП заверени копия от един или няколко от следните документи, от които еднозначно да е видно, че е изпълнено изискването по т.1 от раздел </w:t>
      </w:r>
      <w:r w:rsidR="00D22099">
        <w:t>I</w:t>
      </w:r>
      <w:r w:rsidRPr="009637C0">
        <w:t>Vна настоящата документация:</w:t>
      </w:r>
    </w:p>
    <w:p w:rsidR="00B070D8" w:rsidRPr="009637C0" w:rsidRDefault="00B070D8" w:rsidP="007070C8">
      <w:pPr>
        <w:shd w:val="clear" w:color="auto" w:fill="FFFFFF"/>
        <w:tabs>
          <w:tab w:val="left" w:pos="1134"/>
        </w:tabs>
        <w:spacing w:line="276" w:lineRule="auto"/>
        <w:ind w:left="284" w:firstLine="540"/>
        <w:jc w:val="both"/>
        <w:rPr>
          <w:i/>
        </w:rPr>
      </w:pPr>
      <w:r w:rsidRPr="009637C0">
        <w:t xml:space="preserve">а) </w:t>
      </w:r>
      <w:r w:rsidRPr="009637C0">
        <w:rPr>
          <w:i/>
        </w:rPr>
        <w:t>удостоверения от банки;</w:t>
      </w:r>
    </w:p>
    <w:p w:rsidR="00B070D8" w:rsidRPr="009637C0" w:rsidRDefault="00B070D8" w:rsidP="007070C8">
      <w:pPr>
        <w:shd w:val="clear" w:color="auto" w:fill="FFFFFF"/>
        <w:tabs>
          <w:tab w:val="left" w:pos="1134"/>
        </w:tabs>
        <w:spacing w:line="276" w:lineRule="auto"/>
        <w:ind w:left="284" w:firstLine="540"/>
        <w:jc w:val="both"/>
        <w:rPr>
          <w:i/>
        </w:rPr>
      </w:pPr>
      <w:r w:rsidRPr="009637C0">
        <w:rPr>
          <w:i/>
        </w:rPr>
        <w:t>б)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p>
    <w:p w:rsidR="00B070D8" w:rsidRPr="009637C0" w:rsidRDefault="00B070D8" w:rsidP="007070C8">
      <w:pPr>
        <w:shd w:val="clear" w:color="auto" w:fill="FFFFFF"/>
        <w:tabs>
          <w:tab w:val="left" w:pos="1134"/>
        </w:tabs>
        <w:spacing w:line="276" w:lineRule="auto"/>
        <w:ind w:left="426" w:firstLine="540"/>
        <w:jc w:val="both"/>
        <w:rPr>
          <w:i/>
        </w:rPr>
      </w:pPr>
      <w:r w:rsidRPr="009637C0">
        <w:rPr>
          <w:i/>
        </w:rPr>
        <w:t>в) справка за общия оборот и за оборота в сферата, попадаща в обхвата на поръчката.</w:t>
      </w:r>
    </w:p>
    <w:p w:rsidR="00B070D8" w:rsidRPr="009637C0" w:rsidRDefault="00B070D8" w:rsidP="007070C8">
      <w:pPr>
        <w:shd w:val="clear" w:color="auto" w:fill="FFFFFF"/>
        <w:spacing w:line="276" w:lineRule="auto"/>
        <w:ind w:firstLine="540"/>
        <w:jc w:val="both"/>
      </w:pPr>
    </w:p>
    <w:p w:rsidR="00B070D8" w:rsidRPr="009637C0" w:rsidRDefault="00B070D8" w:rsidP="007070C8">
      <w:pPr>
        <w:spacing w:line="276" w:lineRule="auto"/>
        <w:ind w:firstLine="540"/>
        <w:jc w:val="both"/>
      </w:pPr>
      <w:r w:rsidRPr="009637C0">
        <w:t xml:space="preserve">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 а именно документ, в който се съдържа информацията, която потвърждава, че участникът отговаря на поставеното от възложителя изискване за икономическо и финансово състояние. </w:t>
      </w:r>
    </w:p>
    <w:p w:rsidR="00365286" w:rsidRDefault="00365286" w:rsidP="007070C8">
      <w:pPr>
        <w:spacing w:line="276" w:lineRule="auto"/>
        <w:ind w:firstLine="540"/>
        <w:jc w:val="both"/>
        <w:textAlignment w:val="center"/>
        <w:rPr>
          <w:b/>
        </w:rPr>
      </w:pPr>
    </w:p>
    <w:p w:rsidR="00B070D8" w:rsidRPr="009637C0" w:rsidRDefault="00B070D8" w:rsidP="007070C8">
      <w:pPr>
        <w:spacing w:line="276" w:lineRule="auto"/>
        <w:ind w:firstLine="540"/>
        <w:jc w:val="both"/>
        <w:textAlignment w:val="center"/>
      </w:pPr>
      <w:r w:rsidRPr="009637C0">
        <w:rPr>
          <w:b/>
        </w:rPr>
        <w:tab/>
      </w:r>
      <w:r w:rsidRPr="009637C0">
        <w:t>Съгласно чл. 67, ал. 1 от ЗОП при подаване на оферта участникът декларира съответствие с критериите за подбор и липса на основания за отстраняване чрез представяне на ЕЕДОП. Документите, чрез които се доказва информацията, посочена в ЕЕДОП, могат да бъдат изисквани допълнително при условията на чл. 67, ал. 5 от ЗОП.</w:t>
      </w:r>
    </w:p>
    <w:p w:rsidR="00BB1CB6" w:rsidRPr="00BB1CB6" w:rsidRDefault="00B070D8" w:rsidP="00BB1CB6">
      <w:pPr>
        <w:spacing w:line="276" w:lineRule="auto"/>
        <w:ind w:firstLine="540"/>
        <w:jc w:val="both"/>
        <w:textAlignment w:val="center"/>
      </w:pPr>
      <w:r w:rsidRPr="009637C0">
        <w:tab/>
        <w:t xml:space="preserve">Съгласно чл. </w:t>
      </w:r>
      <w:r w:rsidR="00BB1CB6">
        <w:t>112</w:t>
      </w:r>
      <w:r w:rsidRPr="009637C0">
        <w:t xml:space="preserve">, ал. </w:t>
      </w:r>
      <w:r w:rsidR="00BB1CB6">
        <w:t>1, т. 2</w:t>
      </w:r>
      <w:r w:rsidRPr="009637C0">
        <w:t xml:space="preserve"> от ЗОП преди сключването на договор за обществена поръчка,  възложителят изисква от участника, определен за изпълнител, </w:t>
      </w:r>
      <w:r w:rsidR="00BB1CB6">
        <w:t xml:space="preserve">да </w:t>
      </w:r>
      <w:r w:rsidR="00BB1CB6" w:rsidRPr="00BB1CB6">
        <w:rPr>
          <w:color w:val="000000"/>
          <w:shd w:val="clear" w:color="auto" w:fill="FFFFFF"/>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r w:rsidR="00BB1CB6">
        <w:rPr>
          <w:color w:val="000000"/>
          <w:shd w:val="clear" w:color="auto" w:fill="FFFFFF"/>
        </w:rPr>
        <w:t>.</w:t>
      </w:r>
      <w:r w:rsidRPr="00BB1CB6">
        <w:tab/>
      </w:r>
    </w:p>
    <w:p w:rsidR="00B070D8" w:rsidRPr="009637C0" w:rsidRDefault="00B070D8" w:rsidP="00BB1CB6">
      <w:pPr>
        <w:spacing w:line="276" w:lineRule="auto"/>
        <w:ind w:firstLine="540"/>
        <w:jc w:val="both"/>
        <w:textAlignment w:val="center"/>
      </w:pPr>
      <w:r w:rsidRPr="009637C0">
        <w:t xml:space="preserve">При подаване на офертата участникът декларира липсата на основанията за отстраняване и съответствие с критериите за подбор със Стандартния образец за единния европейски документ за обществени поръчки (ЕЕДОП). В него се предоставя съответната информация и се посочват </w:t>
      </w:r>
      <w:r w:rsidRPr="009637C0">
        <w:lastRenderedPageBreak/>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за тези обстоятелства служебно на Възложителя.</w:t>
      </w:r>
    </w:p>
    <w:p w:rsidR="00B070D8" w:rsidRPr="009637C0" w:rsidRDefault="00B070D8" w:rsidP="007070C8">
      <w:pPr>
        <w:pStyle w:val="Heading1"/>
        <w:spacing w:line="276" w:lineRule="auto"/>
        <w:ind w:firstLine="540"/>
        <w:jc w:val="both"/>
        <w:rPr>
          <w:rFonts w:ascii="Times New Roman" w:hAnsi="Times New Roman"/>
          <w:sz w:val="24"/>
          <w:szCs w:val="24"/>
        </w:rPr>
      </w:pPr>
      <w:bookmarkStart w:id="35" w:name="_Toc424819529"/>
      <w:bookmarkStart w:id="36" w:name="_Toc474510149"/>
      <w:bookmarkStart w:id="37" w:name="_Toc496542674"/>
      <w:r w:rsidRPr="009637C0">
        <w:rPr>
          <w:rFonts w:ascii="Times New Roman" w:hAnsi="Times New Roman"/>
          <w:sz w:val="24"/>
          <w:szCs w:val="24"/>
        </w:rPr>
        <w:tab/>
      </w:r>
      <w:bookmarkStart w:id="38" w:name="_Toc3990222"/>
      <w:r w:rsidRPr="009637C0">
        <w:rPr>
          <w:rFonts w:ascii="Times New Roman" w:hAnsi="Times New Roman"/>
          <w:sz w:val="24"/>
          <w:szCs w:val="24"/>
        </w:rPr>
        <w:t xml:space="preserve">РАЗДЕЛ V. КРИТЕРИИ ЗА </w:t>
      </w:r>
      <w:bookmarkEnd w:id="35"/>
      <w:r w:rsidRPr="009637C0">
        <w:rPr>
          <w:rFonts w:ascii="Times New Roman" w:hAnsi="Times New Roman"/>
          <w:sz w:val="24"/>
          <w:szCs w:val="24"/>
        </w:rPr>
        <w:t>ВЪЗЛАГАНЕ НА ПОРЪЧКАТА</w:t>
      </w:r>
      <w:bookmarkEnd w:id="36"/>
      <w:bookmarkEnd w:id="37"/>
      <w:bookmarkEnd w:id="38"/>
    </w:p>
    <w:p w:rsidR="00B070D8" w:rsidRPr="009637C0" w:rsidRDefault="00B070D8" w:rsidP="007070C8">
      <w:pPr>
        <w:pStyle w:val="0000"/>
        <w:spacing w:before="0" w:after="0" w:line="276" w:lineRule="auto"/>
        <w:ind w:firstLine="540"/>
        <w:outlineLvl w:val="0"/>
        <w:rPr>
          <w:rFonts w:ascii="Times New Roman" w:hAnsi="Times New Roman" w:cs="Times New Roman"/>
          <w:sz w:val="24"/>
          <w:szCs w:val="24"/>
          <w:u w:val="single"/>
          <w:lang w:val="bg-BG"/>
        </w:rPr>
      </w:pPr>
    </w:p>
    <w:p w:rsidR="00B070D8" w:rsidRPr="009637C0" w:rsidRDefault="00B070D8" w:rsidP="007070C8">
      <w:pPr>
        <w:tabs>
          <w:tab w:val="left" w:pos="720"/>
          <w:tab w:val="num" w:pos="1440"/>
        </w:tabs>
        <w:adjustRightInd w:val="0"/>
        <w:spacing w:line="276" w:lineRule="auto"/>
        <w:ind w:firstLine="540"/>
        <w:jc w:val="both"/>
        <w:rPr>
          <w:color w:val="000000"/>
        </w:rPr>
      </w:pPr>
      <w:r w:rsidRPr="009637C0">
        <w:rPr>
          <w:color w:val="000000"/>
        </w:rPr>
        <w:tab/>
        <w:t>Обществената поръчка се възлага въз основа на икономически най-изгодната оферта с критерий за възлагане „оптимално съотношение качество/цена“ съгласно чл. 70, ал. 2, т. 3 от ЗОП.</w:t>
      </w:r>
    </w:p>
    <w:p w:rsidR="00B070D8" w:rsidRPr="009637C0" w:rsidRDefault="00B070D8" w:rsidP="007070C8">
      <w:pPr>
        <w:tabs>
          <w:tab w:val="left" w:pos="720"/>
          <w:tab w:val="num" w:pos="1440"/>
        </w:tabs>
        <w:adjustRightInd w:val="0"/>
        <w:spacing w:line="276" w:lineRule="auto"/>
        <w:ind w:firstLine="540"/>
        <w:jc w:val="both"/>
      </w:pPr>
      <w:r w:rsidRPr="009637C0">
        <w:rPr>
          <w:color w:val="000000"/>
        </w:rPr>
        <w:tab/>
      </w:r>
      <w:r w:rsidRPr="009637C0">
        <w:t>Класирането на офертите се извършва по низходящ ред на получената комплексна оценка, като на първо място се класира офертата с най-висока оценка. Участникът, класиран от комисията на първо място, се предлага за изпълнител на обществената поръчка.</w:t>
      </w:r>
    </w:p>
    <w:p w:rsidR="00B070D8" w:rsidRPr="009637C0" w:rsidRDefault="00B070D8" w:rsidP="007070C8">
      <w:pPr>
        <w:tabs>
          <w:tab w:val="left" w:pos="720"/>
          <w:tab w:val="num" w:pos="1440"/>
        </w:tabs>
        <w:adjustRightInd w:val="0"/>
        <w:spacing w:line="276" w:lineRule="auto"/>
        <w:ind w:firstLine="540"/>
        <w:jc w:val="both"/>
      </w:pPr>
      <w:r w:rsidRPr="009637C0">
        <w:tab/>
        <w:t>Показатели, относителната им тежест и принцип на методиката за определяне на комплексната оценка на офертите:</w:t>
      </w:r>
    </w:p>
    <w:p w:rsidR="00B070D8" w:rsidRPr="009637C0" w:rsidRDefault="00B070D8" w:rsidP="007070C8">
      <w:pPr>
        <w:adjustRightInd w:val="0"/>
        <w:spacing w:line="276" w:lineRule="auto"/>
        <w:ind w:firstLine="540"/>
        <w:jc w:val="both"/>
      </w:pPr>
      <w:r w:rsidRPr="009637C0">
        <w:tab/>
      </w:r>
    </w:p>
    <w:p w:rsidR="00B070D8" w:rsidRPr="009637C0" w:rsidRDefault="00B070D8" w:rsidP="007070C8">
      <w:pPr>
        <w:spacing w:line="276" w:lineRule="auto"/>
        <w:ind w:firstLine="540"/>
        <w:jc w:val="both"/>
        <w:rPr>
          <w:b/>
        </w:rPr>
      </w:pPr>
    </w:p>
    <w:p w:rsidR="00BB1CB6" w:rsidRPr="00577977" w:rsidRDefault="00B070D8" w:rsidP="00BB1CB6">
      <w:pPr>
        <w:rPr>
          <w:b/>
          <w:u w:val="single"/>
        </w:rPr>
      </w:pPr>
      <w:r w:rsidRPr="009637C0">
        <w:rPr>
          <w:b/>
        </w:rPr>
        <w:t>1.</w:t>
      </w:r>
      <w:r w:rsidR="00BB1CB6" w:rsidRPr="00577977">
        <w:rPr>
          <w:b/>
          <w:u w:val="single"/>
        </w:rPr>
        <w:t>МИНИМАЛНИ ХАРАКТЕРИСТИКИ</w:t>
      </w:r>
      <w:r w:rsidR="00BB1CB6">
        <w:rPr>
          <w:b/>
          <w:u w:val="single"/>
        </w:rPr>
        <w:t>:</w:t>
      </w:r>
    </w:p>
    <w:p w:rsidR="00BB1CB6" w:rsidRPr="00077031"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bookmarkStart w:id="39" w:name="_GoBack"/>
      <w:r>
        <w:rPr>
          <w:rFonts w:ascii="Times New Roman" w:hAnsi="Times New Roman"/>
          <w:sz w:val="24"/>
          <w:szCs w:val="24"/>
          <w:lang w:eastAsia="bg-BG"/>
        </w:rPr>
        <w:t>Носеща</w:t>
      </w:r>
      <w:r w:rsidR="00365286">
        <w:rPr>
          <w:rFonts w:ascii="Times New Roman" w:hAnsi="Times New Roman"/>
          <w:sz w:val="24"/>
          <w:szCs w:val="24"/>
          <w:lang w:val="bg-BG" w:eastAsia="bg-BG"/>
        </w:rPr>
        <w:t xml:space="preserve"> </w:t>
      </w:r>
      <w:r>
        <w:rPr>
          <w:rFonts w:ascii="Times New Roman" w:hAnsi="Times New Roman"/>
          <w:sz w:val="24"/>
          <w:szCs w:val="24"/>
          <w:lang w:eastAsia="bg-BG"/>
        </w:rPr>
        <w:t>конструкция с механична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направляваща</w:t>
      </w:r>
      <w:r w:rsidR="00077031">
        <w:rPr>
          <w:rFonts w:ascii="Times New Roman" w:hAnsi="Times New Roman"/>
          <w:sz w:val="24"/>
          <w:szCs w:val="24"/>
          <w:lang w:val="bg-BG" w:eastAsia="bg-BG"/>
        </w:rPr>
        <w:t xml:space="preserve"> </w:t>
      </w:r>
      <w:r>
        <w:rPr>
          <w:rFonts w:ascii="Times New Roman" w:hAnsi="Times New Roman"/>
          <w:sz w:val="24"/>
          <w:szCs w:val="24"/>
          <w:lang w:eastAsia="bg-BG"/>
        </w:rPr>
        <w:t>система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придвижване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във</w:t>
      </w:r>
      <w:r w:rsidR="00077031">
        <w:rPr>
          <w:rFonts w:ascii="Times New Roman" w:hAnsi="Times New Roman"/>
          <w:sz w:val="24"/>
          <w:szCs w:val="24"/>
          <w:lang w:val="bg-BG" w:eastAsia="bg-BG"/>
        </w:rPr>
        <w:t xml:space="preserve"> </w:t>
      </w:r>
      <w:r>
        <w:rPr>
          <w:rFonts w:ascii="Times New Roman" w:hAnsi="Times New Roman"/>
          <w:sz w:val="24"/>
          <w:szCs w:val="24"/>
          <w:lang w:eastAsia="bg-BG"/>
        </w:rPr>
        <w:t>вертикална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посока</w:t>
      </w:r>
      <w:r w:rsidR="009859D6">
        <w:rPr>
          <w:rFonts w:ascii="Times New Roman" w:hAnsi="Times New Roman"/>
          <w:sz w:val="24"/>
          <w:szCs w:val="24"/>
          <w:lang w:val="bg-BG" w:eastAsia="bg-BG"/>
        </w:rPr>
        <w:t xml:space="preserve">, </w:t>
      </w:r>
      <w:r w:rsidR="009859D6" w:rsidRPr="00077031">
        <w:rPr>
          <w:rFonts w:ascii="Times New Roman" w:hAnsi="Times New Roman"/>
          <w:sz w:val="24"/>
          <w:szCs w:val="24"/>
          <w:lang w:val="bg-BG" w:eastAsia="bg-BG"/>
        </w:rPr>
        <w:t>съобразена с изискванията на апаратурата</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Изтеглящ</w:t>
      </w:r>
      <w:r w:rsidR="00077031">
        <w:rPr>
          <w:rFonts w:ascii="Times New Roman" w:hAnsi="Times New Roman"/>
          <w:sz w:val="24"/>
          <w:szCs w:val="24"/>
          <w:lang w:val="bg-BG" w:eastAsia="bg-BG"/>
        </w:rPr>
        <w:t xml:space="preserve"> </w:t>
      </w:r>
      <w:r>
        <w:rPr>
          <w:rFonts w:ascii="Times New Roman" w:hAnsi="Times New Roman"/>
          <w:sz w:val="24"/>
          <w:szCs w:val="24"/>
          <w:lang w:eastAsia="bg-BG"/>
        </w:rPr>
        <w:t>прът с термодвойка</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Система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задаване и контрол</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позицията</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тигел</w:t>
      </w:r>
      <w:r w:rsidRPr="00320F6E">
        <w:rPr>
          <w:rFonts w:ascii="Times New Roman" w:hAnsi="Times New Roman"/>
          <w:sz w:val="24"/>
          <w:szCs w:val="24"/>
          <w:lang w:eastAsia="bg-BG"/>
        </w:rPr>
        <w:t>/</w:t>
      </w:r>
      <w:r>
        <w:rPr>
          <w:rFonts w:ascii="Times New Roman" w:hAnsi="Times New Roman"/>
          <w:sz w:val="24"/>
          <w:szCs w:val="24"/>
          <w:lang w:eastAsia="bg-BG"/>
        </w:rPr>
        <w:t>ампула с ход</w:t>
      </w:r>
      <w:r w:rsidR="00077031">
        <w:rPr>
          <w:rFonts w:ascii="Times New Roman" w:hAnsi="Times New Roman"/>
          <w:sz w:val="24"/>
          <w:szCs w:val="24"/>
          <w:lang w:val="bg-BG" w:eastAsia="bg-BG"/>
        </w:rPr>
        <w:t xml:space="preserve"> </w:t>
      </w:r>
      <w:r w:rsidRPr="009859D6">
        <w:rPr>
          <w:rFonts w:ascii="Times New Roman" w:hAnsi="Times New Roman"/>
          <w:sz w:val="24"/>
          <w:szCs w:val="24"/>
          <w:lang w:eastAsia="bg-BG"/>
        </w:rPr>
        <w:t>минимум</w:t>
      </w:r>
      <w:r w:rsidR="00077031">
        <w:rPr>
          <w:rFonts w:ascii="Times New Roman" w:hAnsi="Times New Roman"/>
          <w:sz w:val="24"/>
          <w:szCs w:val="24"/>
          <w:lang w:val="bg-BG" w:eastAsia="bg-BG"/>
        </w:rPr>
        <w:t xml:space="preserve"> </w:t>
      </w:r>
      <w:r w:rsidR="009859D6">
        <w:rPr>
          <w:rFonts w:ascii="Times New Roman" w:hAnsi="Times New Roman"/>
          <w:sz w:val="24"/>
          <w:szCs w:val="24"/>
          <w:lang w:val="bg-BG" w:eastAsia="bg-BG"/>
        </w:rPr>
        <w:t>990</w:t>
      </w:r>
      <w:r w:rsidR="00077031">
        <w:rPr>
          <w:rFonts w:ascii="Times New Roman" w:hAnsi="Times New Roman"/>
          <w:sz w:val="24"/>
          <w:szCs w:val="24"/>
          <w:lang w:val="bg-BG" w:eastAsia="bg-BG"/>
        </w:rPr>
        <w:t xml:space="preserve"> </w:t>
      </w:r>
      <w:r>
        <w:rPr>
          <w:rFonts w:ascii="Times New Roman" w:hAnsi="Times New Roman"/>
          <w:sz w:val="24"/>
          <w:szCs w:val="24"/>
          <w:lang w:eastAsia="bg-BG"/>
        </w:rPr>
        <w:t>мм</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Задвижващ</w:t>
      </w:r>
      <w:r w:rsidR="00077031">
        <w:rPr>
          <w:rFonts w:ascii="Times New Roman" w:hAnsi="Times New Roman"/>
          <w:sz w:val="24"/>
          <w:szCs w:val="24"/>
          <w:lang w:val="bg-BG" w:eastAsia="bg-BG"/>
        </w:rPr>
        <w:t xml:space="preserve"> </w:t>
      </w:r>
      <w:r>
        <w:rPr>
          <w:rFonts w:ascii="Times New Roman" w:hAnsi="Times New Roman"/>
          <w:sz w:val="24"/>
          <w:szCs w:val="24"/>
          <w:lang w:eastAsia="bg-BG"/>
        </w:rPr>
        <w:t>мотор</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регулируемо</w:t>
      </w:r>
      <w:r w:rsidR="00077031">
        <w:rPr>
          <w:rFonts w:ascii="Times New Roman" w:hAnsi="Times New Roman"/>
          <w:sz w:val="24"/>
          <w:szCs w:val="24"/>
          <w:lang w:val="bg-BG" w:eastAsia="bg-BG"/>
        </w:rPr>
        <w:t xml:space="preserve"> </w:t>
      </w:r>
      <w:r>
        <w:rPr>
          <w:rFonts w:ascii="Times New Roman" w:hAnsi="Times New Roman"/>
          <w:sz w:val="24"/>
          <w:szCs w:val="24"/>
          <w:lang w:eastAsia="bg-BG"/>
        </w:rPr>
        <w:t>бързо</w:t>
      </w:r>
      <w:r w:rsidR="00077031">
        <w:rPr>
          <w:rFonts w:ascii="Times New Roman" w:hAnsi="Times New Roman"/>
          <w:sz w:val="24"/>
          <w:szCs w:val="24"/>
          <w:lang w:val="bg-BG" w:eastAsia="bg-BG"/>
        </w:rPr>
        <w:t xml:space="preserve"> </w:t>
      </w:r>
      <w:r>
        <w:rPr>
          <w:rFonts w:ascii="Times New Roman" w:hAnsi="Times New Roman"/>
          <w:sz w:val="24"/>
          <w:szCs w:val="24"/>
          <w:lang w:eastAsia="bg-BG"/>
        </w:rPr>
        <w:t>позициониране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минимум 2000 мм</w:t>
      </w:r>
      <w:r w:rsidRPr="00320F6E">
        <w:rPr>
          <w:rFonts w:ascii="Times New Roman" w:hAnsi="Times New Roman"/>
          <w:sz w:val="24"/>
          <w:szCs w:val="24"/>
          <w:lang w:eastAsia="bg-BG"/>
        </w:rPr>
        <w:t>/</w:t>
      </w:r>
      <w:r>
        <w:rPr>
          <w:rFonts w:ascii="Times New Roman" w:hAnsi="Times New Roman"/>
          <w:sz w:val="24"/>
          <w:szCs w:val="24"/>
          <w:lang w:eastAsia="bg-BG"/>
        </w:rPr>
        <w:t>мин</w:t>
      </w:r>
      <w:r w:rsidRPr="00320F6E">
        <w:rPr>
          <w:rFonts w:ascii="Times New Roman" w:hAnsi="Times New Roman"/>
          <w:sz w:val="24"/>
          <w:szCs w:val="24"/>
          <w:lang w:eastAsia="bg-BG"/>
        </w:rPr>
        <w:t>;</w:t>
      </w:r>
      <w:r w:rsidR="00677BD8">
        <w:rPr>
          <w:rFonts w:ascii="Times New Roman" w:hAnsi="Times New Roman"/>
          <w:sz w:val="24"/>
          <w:szCs w:val="24"/>
          <w:lang w:val="bg-BG" w:eastAsia="bg-BG"/>
        </w:rPr>
        <w:t xml:space="preserve"> </w:t>
      </w:r>
      <w:r>
        <w:rPr>
          <w:rFonts w:ascii="Times New Roman" w:hAnsi="Times New Roman"/>
          <w:sz w:val="24"/>
          <w:szCs w:val="24"/>
          <w:lang w:eastAsia="bg-BG"/>
        </w:rPr>
        <w:t>регулируемо</w:t>
      </w:r>
      <w:r w:rsidR="00077031">
        <w:rPr>
          <w:rFonts w:ascii="Times New Roman" w:hAnsi="Times New Roman"/>
          <w:sz w:val="24"/>
          <w:szCs w:val="24"/>
          <w:lang w:val="bg-BG" w:eastAsia="bg-BG"/>
        </w:rPr>
        <w:t xml:space="preserve"> </w:t>
      </w:r>
      <w:r>
        <w:rPr>
          <w:rFonts w:ascii="Times New Roman" w:hAnsi="Times New Roman"/>
          <w:sz w:val="24"/>
          <w:szCs w:val="24"/>
          <w:lang w:eastAsia="bg-BG"/>
        </w:rPr>
        <w:t>движение</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тигел</w:t>
      </w:r>
      <w:r w:rsidRPr="00320F6E">
        <w:rPr>
          <w:rFonts w:ascii="Times New Roman" w:hAnsi="Times New Roman"/>
          <w:sz w:val="24"/>
          <w:szCs w:val="24"/>
          <w:lang w:eastAsia="bg-BG"/>
        </w:rPr>
        <w:t>/</w:t>
      </w:r>
      <w:r>
        <w:rPr>
          <w:rFonts w:ascii="Times New Roman" w:hAnsi="Times New Roman"/>
          <w:sz w:val="24"/>
          <w:szCs w:val="24"/>
          <w:lang w:eastAsia="bg-BG"/>
        </w:rPr>
        <w:t>ампула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при</w:t>
      </w:r>
      <w:r w:rsidR="00077031">
        <w:rPr>
          <w:rFonts w:ascii="Times New Roman" w:hAnsi="Times New Roman"/>
          <w:sz w:val="24"/>
          <w:szCs w:val="24"/>
          <w:lang w:val="bg-BG" w:eastAsia="bg-BG"/>
        </w:rPr>
        <w:t xml:space="preserve"> </w:t>
      </w:r>
      <w:r>
        <w:rPr>
          <w:rFonts w:ascii="Times New Roman" w:hAnsi="Times New Roman"/>
          <w:sz w:val="24"/>
          <w:szCs w:val="24"/>
          <w:lang w:eastAsia="bg-BG"/>
        </w:rPr>
        <w:t>израстване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кристали</w:t>
      </w:r>
      <w:r w:rsidR="00077031">
        <w:rPr>
          <w:rFonts w:ascii="Times New Roman" w:hAnsi="Times New Roman"/>
          <w:sz w:val="24"/>
          <w:szCs w:val="24"/>
          <w:lang w:val="bg-BG" w:eastAsia="bg-BG"/>
        </w:rPr>
        <w:t xml:space="preserve"> </w:t>
      </w:r>
      <w:r>
        <w:rPr>
          <w:rFonts w:ascii="Times New Roman" w:hAnsi="Times New Roman"/>
          <w:sz w:val="24"/>
          <w:szCs w:val="24"/>
          <w:lang w:eastAsia="bg-BG"/>
        </w:rPr>
        <w:t>със</w:t>
      </w:r>
      <w:r w:rsidR="00077031">
        <w:rPr>
          <w:rFonts w:ascii="Times New Roman" w:hAnsi="Times New Roman"/>
          <w:sz w:val="24"/>
          <w:szCs w:val="24"/>
          <w:lang w:val="bg-BG" w:eastAsia="bg-BG"/>
        </w:rPr>
        <w:t xml:space="preserve"> </w:t>
      </w:r>
      <w:r>
        <w:rPr>
          <w:rFonts w:ascii="Times New Roman" w:hAnsi="Times New Roman"/>
          <w:sz w:val="24"/>
          <w:szCs w:val="24"/>
          <w:lang w:eastAsia="bg-BG"/>
        </w:rPr>
        <w:t>скорости</w:t>
      </w:r>
      <w:r w:rsidR="00077031">
        <w:rPr>
          <w:rFonts w:ascii="Times New Roman" w:hAnsi="Times New Roman"/>
          <w:sz w:val="24"/>
          <w:szCs w:val="24"/>
          <w:lang w:val="bg-BG" w:eastAsia="bg-BG"/>
        </w:rPr>
        <w:t xml:space="preserve"> </w:t>
      </w:r>
      <w:r>
        <w:rPr>
          <w:rFonts w:ascii="Times New Roman" w:hAnsi="Times New Roman"/>
          <w:sz w:val="24"/>
          <w:szCs w:val="24"/>
          <w:lang w:eastAsia="bg-BG"/>
        </w:rPr>
        <w:t>минимум</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от 0.0</w:t>
      </w:r>
      <w:r>
        <w:rPr>
          <w:rFonts w:ascii="Times New Roman" w:hAnsi="Times New Roman"/>
          <w:sz w:val="24"/>
          <w:szCs w:val="24"/>
          <w:lang w:eastAsia="bg-BG"/>
        </w:rPr>
        <w:t>3</w:t>
      </w:r>
      <w:r w:rsidR="00677BD8">
        <w:rPr>
          <w:rFonts w:ascii="Times New Roman" w:hAnsi="Times New Roman"/>
          <w:sz w:val="24"/>
          <w:szCs w:val="24"/>
          <w:lang w:val="bg-BG" w:eastAsia="bg-BG"/>
        </w:rPr>
        <w:t xml:space="preserve"> </w:t>
      </w:r>
      <w:r w:rsidRPr="00320F6E">
        <w:rPr>
          <w:rFonts w:ascii="Times New Roman" w:hAnsi="Times New Roman"/>
          <w:sz w:val="24"/>
          <w:szCs w:val="24"/>
          <w:lang w:eastAsia="bg-BG"/>
        </w:rPr>
        <w:t>до 50 мм/час; ротационно</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движение</w:t>
      </w:r>
      <w:r w:rsidR="00077031">
        <w:rPr>
          <w:rFonts w:ascii="Times New Roman" w:hAnsi="Times New Roman"/>
          <w:sz w:val="24"/>
          <w:szCs w:val="24"/>
          <w:lang w:val="bg-BG" w:eastAsia="bg-BG"/>
        </w:rPr>
        <w:t xml:space="preserve"> </w:t>
      </w:r>
      <w:r>
        <w:rPr>
          <w:rFonts w:ascii="Times New Roman" w:hAnsi="Times New Roman"/>
          <w:sz w:val="24"/>
          <w:szCs w:val="24"/>
          <w:lang w:eastAsia="bg-BG"/>
        </w:rPr>
        <w:t>минимум</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1-5 об/мин</w:t>
      </w:r>
      <w:r w:rsidR="00077031">
        <w:rPr>
          <w:rFonts w:ascii="Times New Roman" w:hAnsi="Times New Roman"/>
          <w:sz w:val="24"/>
          <w:szCs w:val="24"/>
          <w:lang w:val="bg-BG" w:eastAsia="bg-BG"/>
        </w:rPr>
        <w:t>;</w:t>
      </w:r>
    </w:p>
    <w:p w:rsidR="00BB1CB6" w:rsidRP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sidRPr="00BB1CB6">
        <w:rPr>
          <w:rFonts w:ascii="Times New Roman" w:hAnsi="Times New Roman"/>
          <w:sz w:val="24"/>
          <w:szCs w:val="24"/>
          <w:lang w:eastAsia="bg-BG"/>
        </w:rPr>
        <w:t>Вертикална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високотемпературна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пещ с една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нагреваема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зона</w:t>
      </w:r>
      <w:r w:rsidR="00077031">
        <w:rPr>
          <w:rFonts w:ascii="Times New Roman" w:hAnsi="Times New Roman"/>
          <w:sz w:val="24"/>
          <w:szCs w:val="24"/>
          <w:lang w:val="bg-BG" w:eastAsia="bg-BG"/>
        </w:rPr>
        <w:t xml:space="preserve"> </w:t>
      </w:r>
      <w:r w:rsidR="009859D6">
        <w:rPr>
          <w:rFonts w:ascii="Times New Roman" w:hAnsi="Times New Roman"/>
          <w:sz w:val="24"/>
          <w:szCs w:val="24"/>
          <w:lang w:val="bg-BG" w:eastAsia="bg-BG"/>
        </w:rPr>
        <w:t>поне</w:t>
      </w:r>
      <w:r w:rsidRPr="00BB1CB6">
        <w:rPr>
          <w:rFonts w:ascii="Times New Roman" w:hAnsi="Times New Roman"/>
          <w:sz w:val="24"/>
          <w:szCs w:val="24"/>
          <w:lang w:eastAsia="bg-BG"/>
        </w:rPr>
        <w:t xml:space="preserve"> 200 мм</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и размер</w:t>
      </w:r>
      <w:r w:rsidR="00677BD8">
        <w:rPr>
          <w:rFonts w:ascii="Times New Roman" w:hAnsi="Times New Roman"/>
          <w:sz w:val="24"/>
          <w:szCs w:val="24"/>
          <w:lang w:val="bg-BG" w:eastAsia="bg-BG"/>
        </w:rPr>
        <w:t xml:space="preserve"> </w:t>
      </w:r>
      <w:r w:rsidRPr="00BB1CB6">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използваните</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тигели/ампули</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до 40 мм – диаметър. Работна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температура</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минимум 1350 градуса</w:t>
      </w:r>
      <w:r w:rsidR="00077031">
        <w:rPr>
          <w:rFonts w:ascii="Times New Roman" w:hAnsi="Times New Roman"/>
          <w:sz w:val="24"/>
          <w:szCs w:val="24"/>
          <w:lang w:val="bg-BG" w:eastAsia="bg-BG"/>
        </w:rPr>
        <w:t xml:space="preserve"> </w:t>
      </w:r>
      <w:r w:rsidR="00077031">
        <w:rPr>
          <w:rFonts w:ascii="Times New Roman" w:hAnsi="Times New Roman"/>
          <w:sz w:val="24"/>
          <w:szCs w:val="24"/>
          <w:lang w:eastAsia="bg-BG"/>
        </w:rPr>
        <w:t>целзий</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Работна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тръба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вертикалната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пещ</w:t>
      </w:r>
      <w:r w:rsidR="00077031">
        <w:rPr>
          <w:rFonts w:ascii="Times New Roman" w:hAnsi="Times New Roman"/>
          <w:sz w:val="24"/>
          <w:szCs w:val="24"/>
          <w:lang w:val="bg-BG" w:eastAsia="bg-BG"/>
        </w:rPr>
        <w:t xml:space="preserve"> </w:t>
      </w:r>
      <w:r>
        <w:rPr>
          <w:rFonts w:ascii="Times New Roman" w:hAnsi="Times New Roman"/>
          <w:sz w:val="24"/>
          <w:szCs w:val="24"/>
          <w:lang w:eastAsia="bg-BG"/>
        </w:rPr>
        <w:t>от</w:t>
      </w:r>
      <w:r w:rsidR="00077031">
        <w:rPr>
          <w:rFonts w:ascii="Times New Roman" w:hAnsi="Times New Roman"/>
          <w:sz w:val="24"/>
          <w:szCs w:val="24"/>
          <w:lang w:val="bg-BG" w:eastAsia="bg-BG"/>
        </w:rPr>
        <w:t xml:space="preserve"> </w:t>
      </w:r>
      <w:r w:rsidRPr="00BB1CB6">
        <w:rPr>
          <w:rFonts w:ascii="Times New Roman" w:hAnsi="Times New Roman"/>
          <w:sz w:val="24"/>
          <w:szCs w:val="24"/>
          <w:lang w:eastAsia="bg-BG"/>
        </w:rPr>
        <w:t>Мулит</w:t>
      </w:r>
      <w:r w:rsidR="00077031">
        <w:rPr>
          <w:rFonts w:ascii="Times New Roman" w:hAnsi="Times New Roman"/>
          <w:sz w:val="24"/>
          <w:szCs w:val="24"/>
          <w:lang w:val="bg-BG" w:eastAsia="bg-BG"/>
        </w:rPr>
        <w:t>;</w:t>
      </w:r>
    </w:p>
    <w:p w:rsidR="00BB1CB6" w:rsidRPr="00AE70FE"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sidRPr="00077031">
        <w:rPr>
          <w:rFonts w:ascii="Times New Roman" w:hAnsi="Times New Roman"/>
          <w:sz w:val="24"/>
          <w:szCs w:val="24"/>
          <w:lang w:eastAsia="bg-BG"/>
        </w:rPr>
        <w:t>Захранване</w:t>
      </w:r>
      <w:r w:rsidR="00077031">
        <w:rPr>
          <w:rFonts w:ascii="Times New Roman" w:hAnsi="Times New Roman"/>
          <w:sz w:val="24"/>
          <w:szCs w:val="24"/>
          <w:lang w:val="bg-BG" w:eastAsia="bg-BG"/>
        </w:rPr>
        <w:t xml:space="preserve"> </w:t>
      </w:r>
      <w:r w:rsidRPr="00077031">
        <w:rPr>
          <w:rFonts w:ascii="Times New Roman" w:hAnsi="Times New Roman"/>
          <w:sz w:val="24"/>
          <w:szCs w:val="24"/>
          <w:lang w:eastAsia="bg-BG"/>
        </w:rPr>
        <w:t>230</w:t>
      </w:r>
      <w:r w:rsidR="00683697" w:rsidRPr="00077031">
        <w:rPr>
          <w:rFonts w:ascii="Times New Roman" w:hAnsi="Times New Roman"/>
          <w:sz w:val="24"/>
          <w:szCs w:val="24"/>
          <w:lang w:val="bg-BG" w:eastAsia="bg-BG"/>
        </w:rPr>
        <w:t xml:space="preserve">± </w:t>
      </w:r>
      <w:r w:rsidR="00683697" w:rsidRPr="00077031">
        <w:rPr>
          <w:rFonts w:ascii="Times New Roman" w:hAnsi="Times New Roman"/>
          <w:sz w:val="24"/>
          <w:szCs w:val="24"/>
          <w:lang w:eastAsia="bg-BG"/>
        </w:rPr>
        <w:t>10</w:t>
      </w:r>
      <w:r w:rsidR="00077031">
        <w:rPr>
          <w:rFonts w:ascii="Times New Roman" w:hAnsi="Times New Roman"/>
          <w:sz w:val="24"/>
          <w:szCs w:val="24"/>
          <w:lang w:val="bg-BG" w:eastAsia="bg-BG"/>
        </w:rPr>
        <w:t xml:space="preserve"> </w:t>
      </w:r>
      <w:r w:rsidRPr="00077031">
        <w:rPr>
          <w:rFonts w:ascii="Times New Roman" w:hAnsi="Times New Roman"/>
          <w:sz w:val="24"/>
          <w:szCs w:val="24"/>
          <w:lang w:eastAsia="bg-BG"/>
        </w:rPr>
        <w:t>Волта</w:t>
      </w:r>
      <w:r w:rsidRPr="00AE70FE">
        <w:rPr>
          <w:rFonts w:ascii="Times New Roman" w:hAnsi="Times New Roman"/>
          <w:sz w:val="24"/>
          <w:szCs w:val="24"/>
          <w:lang w:eastAsia="bg-BG"/>
        </w:rPr>
        <w:t>, 50 херца, монофазно</w:t>
      </w:r>
      <w:r w:rsidR="00077031">
        <w:rPr>
          <w:rFonts w:ascii="Times New Roman" w:hAnsi="Times New Roman"/>
          <w:sz w:val="24"/>
          <w:szCs w:val="24"/>
          <w:lang w:val="bg-BG" w:eastAsia="bg-BG"/>
        </w:rPr>
        <w:t xml:space="preserve"> </w:t>
      </w:r>
      <w:r w:rsidRPr="00AE70FE">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sidRPr="00AE70FE">
        <w:rPr>
          <w:rFonts w:ascii="Times New Roman" w:hAnsi="Times New Roman"/>
          <w:sz w:val="24"/>
          <w:szCs w:val="24"/>
          <w:lang w:eastAsia="bg-BG"/>
        </w:rPr>
        <w:t>работа с мощност</w:t>
      </w:r>
      <w:r w:rsidR="00077031">
        <w:rPr>
          <w:rFonts w:ascii="Times New Roman" w:hAnsi="Times New Roman"/>
          <w:sz w:val="24"/>
          <w:szCs w:val="24"/>
          <w:lang w:val="bg-BG" w:eastAsia="bg-BG"/>
        </w:rPr>
        <w:t xml:space="preserve"> </w:t>
      </w:r>
      <w:r w:rsidRPr="00AE70FE">
        <w:rPr>
          <w:rFonts w:ascii="Times New Roman" w:hAnsi="Times New Roman"/>
          <w:sz w:val="24"/>
          <w:szCs w:val="24"/>
          <w:lang w:eastAsia="bg-BG"/>
        </w:rPr>
        <w:t>минимум 2.1 киловата</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Електронен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шкаф</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моторите</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механично</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задвижване и система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температурен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контрол</w:t>
      </w:r>
      <w:r w:rsidR="00077031">
        <w:rPr>
          <w:rFonts w:ascii="Times New Roman" w:hAnsi="Times New Roman"/>
          <w:sz w:val="24"/>
          <w:szCs w:val="24"/>
          <w:lang w:val="bg-BG" w:eastAsia="bg-BG"/>
        </w:rPr>
        <w:t>;</w:t>
      </w:r>
    </w:p>
    <w:p w:rsidR="00BB1CB6" w:rsidRPr="000D72DC"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sidRPr="000D72DC">
        <w:rPr>
          <w:rFonts w:ascii="Times New Roman" w:hAnsi="Times New Roman"/>
          <w:sz w:val="24"/>
          <w:szCs w:val="24"/>
          <w:lang w:eastAsia="bg-BG"/>
        </w:rPr>
        <w:t>Стандартна 1-годишна гаранция</w:t>
      </w:r>
      <w:r w:rsidR="00077031">
        <w:rPr>
          <w:rFonts w:ascii="Times New Roman" w:hAnsi="Times New Roman"/>
          <w:sz w:val="24"/>
          <w:szCs w:val="24"/>
          <w:lang w:val="bg-BG" w:eastAsia="bg-BG"/>
        </w:rPr>
        <w:t xml:space="preserve"> </w:t>
      </w:r>
      <w:r w:rsidRPr="000D72DC">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sidRPr="000D72DC">
        <w:rPr>
          <w:rFonts w:ascii="Times New Roman" w:hAnsi="Times New Roman"/>
          <w:sz w:val="24"/>
          <w:szCs w:val="24"/>
          <w:lang w:eastAsia="bg-BG"/>
        </w:rPr>
        <w:t>части и производствен</w:t>
      </w:r>
      <w:r>
        <w:rPr>
          <w:rFonts w:ascii="Times New Roman" w:hAnsi="Times New Roman"/>
          <w:sz w:val="24"/>
          <w:szCs w:val="24"/>
          <w:lang w:eastAsia="bg-BG"/>
        </w:rPr>
        <w:t>и</w:t>
      </w:r>
      <w:r w:rsidR="00077031">
        <w:rPr>
          <w:rFonts w:ascii="Times New Roman" w:hAnsi="Times New Roman"/>
          <w:sz w:val="24"/>
          <w:szCs w:val="24"/>
          <w:lang w:val="bg-BG" w:eastAsia="bg-BG"/>
        </w:rPr>
        <w:t xml:space="preserve"> </w:t>
      </w:r>
      <w:r>
        <w:rPr>
          <w:rFonts w:ascii="Times New Roman" w:hAnsi="Times New Roman"/>
          <w:sz w:val="24"/>
          <w:szCs w:val="24"/>
          <w:lang w:eastAsia="bg-BG"/>
        </w:rPr>
        <w:t>дефекти (изключва</w:t>
      </w:r>
      <w:r w:rsidR="00077031">
        <w:rPr>
          <w:rFonts w:ascii="Times New Roman" w:hAnsi="Times New Roman"/>
          <w:sz w:val="24"/>
          <w:szCs w:val="24"/>
          <w:lang w:val="bg-BG" w:eastAsia="bg-BG"/>
        </w:rPr>
        <w:t xml:space="preserve"> </w:t>
      </w:r>
      <w:r w:rsidRPr="000D72DC">
        <w:rPr>
          <w:rFonts w:ascii="Times New Roman" w:hAnsi="Times New Roman"/>
          <w:sz w:val="24"/>
          <w:szCs w:val="24"/>
          <w:lang w:eastAsia="bg-BG"/>
        </w:rPr>
        <w:t>уплътнения</w:t>
      </w:r>
      <w:r>
        <w:rPr>
          <w:rFonts w:ascii="Times New Roman" w:hAnsi="Times New Roman"/>
          <w:sz w:val="24"/>
          <w:szCs w:val="24"/>
          <w:lang w:eastAsia="bg-BG"/>
        </w:rPr>
        <w:t xml:space="preserve"> и бързоизносва</w:t>
      </w:r>
      <w:r w:rsidR="00683697">
        <w:rPr>
          <w:rFonts w:ascii="Times New Roman" w:hAnsi="Times New Roman"/>
          <w:sz w:val="24"/>
          <w:szCs w:val="24"/>
          <w:lang w:val="bg-BG" w:eastAsia="bg-BG"/>
        </w:rPr>
        <w:t>щ</w:t>
      </w:r>
      <w:r>
        <w:rPr>
          <w:rFonts w:ascii="Times New Roman" w:hAnsi="Times New Roman"/>
          <w:sz w:val="24"/>
          <w:szCs w:val="24"/>
          <w:lang w:eastAsia="bg-BG"/>
        </w:rPr>
        <w:t>и се</w:t>
      </w:r>
      <w:r w:rsidR="00077031">
        <w:rPr>
          <w:rFonts w:ascii="Times New Roman" w:hAnsi="Times New Roman"/>
          <w:sz w:val="24"/>
          <w:szCs w:val="24"/>
          <w:lang w:val="bg-BG" w:eastAsia="bg-BG"/>
        </w:rPr>
        <w:t xml:space="preserve"> </w:t>
      </w:r>
      <w:r>
        <w:rPr>
          <w:rFonts w:ascii="Times New Roman" w:hAnsi="Times New Roman"/>
          <w:sz w:val="24"/>
          <w:szCs w:val="24"/>
          <w:lang w:eastAsia="bg-BG"/>
        </w:rPr>
        <w:t>части</w:t>
      </w:r>
      <w:r w:rsidRPr="000D72DC">
        <w:rPr>
          <w:rFonts w:ascii="Times New Roman" w:hAnsi="Times New Roman"/>
          <w:sz w:val="24"/>
          <w:szCs w:val="24"/>
          <w:lang w:eastAsia="bg-BG"/>
        </w:rPr>
        <w:t>)</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sidRPr="000D72DC">
        <w:rPr>
          <w:rFonts w:ascii="Times New Roman" w:hAnsi="Times New Roman"/>
          <w:sz w:val="24"/>
          <w:szCs w:val="24"/>
          <w:lang w:eastAsia="bg-BG"/>
        </w:rPr>
        <w:t>Температурен</w:t>
      </w:r>
      <w:r w:rsidR="00077031">
        <w:rPr>
          <w:rFonts w:ascii="Times New Roman" w:hAnsi="Times New Roman"/>
          <w:sz w:val="24"/>
          <w:szCs w:val="24"/>
          <w:lang w:val="bg-BG" w:eastAsia="bg-BG"/>
        </w:rPr>
        <w:t xml:space="preserve"> </w:t>
      </w:r>
      <w:r w:rsidRPr="000D72DC">
        <w:rPr>
          <w:rFonts w:ascii="Times New Roman" w:hAnsi="Times New Roman"/>
          <w:sz w:val="24"/>
          <w:szCs w:val="24"/>
          <w:lang w:eastAsia="bg-BG"/>
        </w:rPr>
        <w:t>контрол</w:t>
      </w:r>
      <w:r w:rsidR="00077031">
        <w:rPr>
          <w:rFonts w:ascii="Times New Roman" w:hAnsi="Times New Roman"/>
          <w:sz w:val="24"/>
          <w:szCs w:val="24"/>
          <w:lang w:val="bg-BG" w:eastAsia="bg-BG"/>
        </w:rPr>
        <w:t xml:space="preserve"> </w:t>
      </w:r>
      <w:r>
        <w:rPr>
          <w:rFonts w:ascii="Times New Roman" w:hAnsi="Times New Roman"/>
          <w:sz w:val="24"/>
          <w:szCs w:val="24"/>
          <w:lang w:eastAsia="bg-BG"/>
        </w:rPr>
        <w:t>с термодвойка в непосредствена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близост</w:t>
      </w:r>
      <w:r w:rsidR="00077031">
        <w:rPr>
          <w:rFonts w:ascii="Times New Roman" w:hAnsi="Times New Roman"/>
          <w:sz w:val="24"/>
          <w:szCs w:val="24"/>
          <w:lang w:val="bg-BG" w:eastAsia="bg-BG"/>
        </w:rPr>
        <w:t xml:space="preserve"> </w:t>
      </w:r>
      <w:r>
        <w:rPr>
          <w:rFonts w:ascii="Times New Roman" w:hAnsi="Times New Roman"/>
          <w:sz w:val="24"/>
          <w:szCs w:val="24"/>
          <w:lang w:eastAsia="bg-BG"/>
        </w:rPr>
        <w:t>до</w:t>
      </w:r>
      <w:r w:rsidR="00077031">
        <w:rPr>
          <w:rFonts w:ascii="Times New Roman" w:hAnsi="Times New Roman"/>
          <w:sz w:val="24"/>
          <w:szCs w:val="24"/>
          <w:lang w:val="bg-BG" w:eastAsia="bg-BG"/>
        </w:rPr>
        <w:t xml:space="preserve"> </w:t>
      </w:r>
      <w:r>
        <w:rPr>
          <w:rFonts w:ascii="Times New Roman" w:hAnsi="Times New Roman"/>
          <w:sz w:val="24"/>
          <w:szCs w:val="24"/>
          <w:lang w:eastAsia="bg-BG"/>
        </w:rPr>
        <w:t>тигел</w:t>
      </w:r>
      <w:r w:rsidRPr="00320F6E">
        <w:rPr>
          <w:rFonts w:ascii="Times New Roman" w:hAnsi="Times New Roman"/>
          <w:sz w:val="24"/>
          <w:szCs w:val="24"/>
          <w:lang w:eastAsia="bg-BG"/>
        </w:rPr>
        <w:t>/</w:t>
      </w:r>
      <w:r>
        <w:rPr>
          <w:rFonts w:ascii="Times New Roman" w:hAnsi="Times New Roman"/>
          <w:sz w:val="24"/>
          <w:szCs w:val="24"/>
          <w:lang w:eastAsia="bg-BG"/>
        </w:rPr>
        <w:t>ампула с израстващ</w:t>
      </w:r>
      <w:r w:rsidR="00077031">
        <w:rPr>
          <w:rFonts w:ascii="Times New Roman" w:hAnsi="Times New Roman"/>
          <w:sz w:val="24"/>
          <w:szCs w:val="24"/>
          <w:lang w:val="bg-BG" w:eastAsia="bg-BG"/>
        </w:rPr>
        <w:t xml:space="preserve"> </w:t>
      </w:r>
      <w:r>
        <w:rPr>
          <w:rFonts w:ascii="Times New Roman" w:hAnsi="Times New Roman"/>
          <w:sz w:val="24"/>
          <w:szCs w:val="24"/>
          <w:lang w:eastAsia="bg-BG"/>
        </w:rPr>
        <w:t>кристал</w:t>
      </w:r>
      <w:r w:rsidR="00077031">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Температурен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контролер</w:t>
      </w:r>
      <w:r w:rsidRPr="00320F6E">
        <w:rPr>
          <w:rFonts w:ascii="Times New Roman" w:hAnsi="Times New Roman"/>
          <w:sz w:val="24"/>
          <w:szCs w:val="24"/>
          <w:lang w:eastAsia="bg-BG"/>
        </w:rPr>
        <w:t>/</w:t>
      </w:r>
      <w:r>
        <w:rPr>
          <w:rFonts w:ascii="Times New Roman" w:hAnsi="Times New Roman"/>
          <w:sz w:val="24"/>
          <w:szCs w:val="24"/>
          <w:lang w:eastAsia="bg-BG"/>
        </w:rPr>
        <w:t>програматор с дисплей и вградена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памет с възможност</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цифрово</w:t>
      </w:r>
      <w:r w:rsidR="00677BD8">
        <w:rPr>
          <w:rFonts w:ascii="Times New Roman" w:hAnsi="Times New Roman"/>
          <w:sz w:val="24"/>
          <w:szCs w:val="24"/>
          <w:lang w:val="bg-BG" w:eastAsia="bg-BG"/>
        </w:rPr>
        <w:t xml:space="preserve"> </w:t>
      </w:r>
      <w:r>
        <w:rPr>
          <w:rFonts w:ascii="Times New Roman" w:hAnsi="Times New Roman"/>
          <w:sz w:val="24"/>
          <w:szCs w:val="24"/>
          <w:lang w:eastAsia="bg-BG"/>
        </w:rPr>
        <w:t>снемане</w:t>
      </w:r>
      <w:r w:rsidRPr="00320F6E">
        <w:rPr>
          <w:rFonts w:ascii="Times New Roman" w:hAnsi="Times New Roman"/>
          <w:sz w:val="24"/>
          <w:szCs w:val="24"/>
          <w:lang w:eastAsia="bg-BG"/>
        </w:rPr>
        <w:t>,</w:t>
      </w:r>
      <w:r w:rsidR="00677BD8">
        <w:rPr>
          <w:rFonts w:ascii="Times New Roman" w:hAnsi="Times New Roman"/>
          <w:sz w:val="24"/>
          <w:szCs w:val="24"/>
          <w:lang w:val="bg-BG" w:eastAsia="bg-BG"/>
        </w:rPr>
        <w:t xml:space="preserve"> </w:t>
      </w:r>
      <w:r>
        <w:rPr>
          <w:rFonts w:ascii="Times New Roman" w:hAnsi="Times New Roman"/>
          <w:sz w:val="24"/>
          <w:szCs w:val="24"/>
          <w:lang w:eastAsia="bg-BG"/>
        </w:rPr>
        <w:t>трансфер</w:t>
      </w:r>
      <w:r w:rsidRPr="00320F6E">
        <w:rPr>
          <w:rFonts w:ascii="Times New Roman" w:hAnsi="Times New Roman"/>
          <w:sz w:val="24"/>
          <w:szCs w:val="24"/>
          <w:lang w:eastAsia="bg-BG"/>
        </w:rPr>
        <w:t>,</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запис и обработка</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данните</w:t>
      </w:r>
      <w:r w:rsidRPr="00320F6E">
        <w:rPr>
          <w:rFonts w:ascii="Times New Roman" w:hAnsi="Times New Roman"/>
          <w:sz w:val="24"/>
          <w:szCs w:val="24"/>
          <w:lang w:eastAsia="bg-BG"/>
        </w:rPr>
        <w:t>. До</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четири</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аналогови</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входа</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термодвойки</w:t>
      </w:r>
      <w:r w:rsidR="00077031">
        <w:rPr>
          <w:rFonts w:ascii="Times New Roman" w:hAnsi="Times New Roman"/>
          <w:sz w:val="24"/>
          <w:szCs w:val="24"/>
          <w:lang w:val="bg-BG" w:eastAsia="bg-BG"/>
        </w:rPr>
        <w:t xml:space="preserve"> </w:t>
      </w:r>
      <w:r w:rsidRPr="00320F6E">
        <w:rPr>
          <w:rFonts w:ascii="Times New Roman" w:hAnsi="Times New Roman"/>
          <w:sz w:val="24"/>
          <w:szCs w:val="24"/>
          <w:lang w:eastAsia="bg-BG"/>
        </w:rPr>
        <w:t>или</w:t>
      </w:r>
      <w:r w:rsidR="00077031">
        <w:rPr>
          <w:rFonts w:ascii="Times New Roman" w:hAnsi="Times New Roman"/>
          <w:sz w:val="24"/>
          <w:szCs w:val="24"/>
          <w:lang w:val="bg-BG" w:eastAsia="bg-BG"/>
        </w:rPr>
        <w:t xml:space="preserve"> </w:t>
      </w:r>
      <w:r>
        <w:rPr>
          <w:rFonts w:ascii="Times New Roman" w:hAnsi="Times New Roman"/>
          <w:sz w:val="24"/>
          <w:szCs w:val="24"/>
          <w:lang w:eastAsia="bg-BG"/>
        </w:rPr>
        <w:t>други</w:t>
      </w:r>
      <w:r w:rsidR="00077031">
        <w:rPr>
          <w:rFonts w:ascii="Times New Roman" w:hAnsi="Times New Roman"/>
          <w:sz w:val="24"/>
          <w:szCs w:val="24"/>
          <w:lang w:val="bg-BG" w:eastAsia="bg-BG"/>
        </w:rPr>
        <w:t xml:space="preserve"> </w:t>
      </w:r>
      <w:r>
        <w:rPr>
          <w:rFonts w:ascii="Times New Roman" w:hAnsi="Times New Roman"/>
          <w:sz w:val="24"/>
          <w:szCs w:val="24"/>
          <w:lang w:eastAsia="bg-BG"/>
        </w:rPr>
        <w:t>сонди. USB</w:t>
      </w:r>
      <w:r w:rsidR="00077031">
        <w:rPr>
          <w:rFonts w:ascii="Times New Roman" w:hAnsi="Times New Roman"/>
          <w:sz w:val="24"/>
          <w:szCs w:val="24"/>
          <w:lang w:val="bg-BG" w:eastAsia="bg-BG"/>
        </w:rPr>
        <w:t xml:space="preserve"> </w:t>
      </w:r>
      <w:r>
        <w:rPr>
          <w:rFonts w:ascii="Times New Roman" w:hAnsi="Times New Roman"/>
          <w:sz w:val="24"/>
          <w:szCs w:val="24"/>
          <w:lang w:eastAsia="bg-BG"/>
        </w:rPr>
        <w:t>и</w:t>
      </w:r>
      <w:r w:rsidR="00077031">
        <w:rPr>
          <w:rFonts w:ascii="Times New Roman" w:hAnsi="Times New Roman"/>
          <w:sz w:val="24"/>
          <w:szCs w:val="24"/>
          <w:lang w:val="bg-BG" w:eastAsia="bg-BG"/>
        </w:rPr>
        <w:t xml:space="preserve"> </w:t>
      </w:r>
      <w:r>
        <w:rPr>
          <w:rFonts w:ascii="Times New Roman" w:hAnsi="Times New Roman"/>
          <w:sz w:val="24"/>
          <w:szCs w:val="24"/>
          <w:lang w:eastAsia="bg-BG"/>
        </w:rPr>
        <w:t>Ethernet</w:t>
      </w:r>
      <w:r w:rsidR="00077031">
        <w:rPr>
          <w:rFonts w:ascii="Times New Roman" w:hAnsi="Times New Roman"/>
          <w:sz w:val="24"/>
          <w:szCs w:val="24"/>
          <w:lang w:val="bg-BG" w:eastAsia="bg-BG"/>
        </w:rPr>
        <w:t xml:space="preserve"> </w:t>
      </w:r>
      <w:r>
        <w:rPr>
          <w:rFonts w:ascii="Times New Roman" w:hAnsi="Times New Roman"/>
          <w:sz w:val="24"/>
          <w:szCs w:val="24"/>
          <w:lang w:eastAsia="bg-BG"/>
        </w:rPr>
        <w:t>портове</w:t>
      </w:r>
      <w:r w:rsidR="00077031">
        <w:rPr>
          <w:rFonts w:ascii="Times New Roman" w:hAnsi="Times New Roman"/>
          <w:sz w:val="24"/>
          <w:szCs w:val="24"/>
          <w:lang w:val="bg-BG" w:eastAsia="bg-BG"/>
        </w:rPr>
        <w:t xml:space="preserve"> </w:t>
      </w:r>
      <w:r>
        <w:rPr>
          <w:rFonts w:ascii="Times New Roman" w:hAnsi="Times New Roman"/>
          <w:sz w:val="24"/>
          <w:szCs w:val="24"/>
          <w:lang w:eastAsia="bg-BG"/>
        </w:rPr>
        <w:t>със</w:t>
      </w:r>
      <w:r w:rsidR="00077031">
        <w:rPr>
          <w:rFonts w:ascii="Times New Roman" w:hAnsi="Times New Roman"/>
          <w:sz w:val="24"/>
          <w:szCs w:val="24"/>
          <w:lang w:val="bg-BG" w:eastAsia="bg-BG"/>
        </w:rPr>
        <w:t xml:space="preserve"> </w:t>
      </w:r>
      <w:r>
        <w:rPr>
          <w:rFonts w:ascii="Times New Roman" w:hAnsi="Times New Roman"/>
          <w:sz w:val="24"/>
          <w:szCs w:val="24"/>
          <w:lang w:eastAsia="bg-BG"/>
        </w:rPr>
        <w:t>софтуер</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форматиране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файлове</w:t>
      </w:r>
      <w:r w:rsidR="00077031">
        <w:rPr>
          <w:rFonts w:ascii="Times New Roman" w:hAnsi="Times New Roman"/>
          <w:sz w:val="24"/>
          <w:szCs w:val="24"/>
          <w:lang w:val="bg-BG" w:eastAsia="bg-BG"/>
        </w:rPr>
        <w:t xml:space="preserve"> </w:t>
      </w:r>
      <w:r>
        <w:rPr>
          <w:rFonts w:ascii="Times New Roman" w:hAnsi="Times New Roman"/>
          <w:sz w:val="24"/>
          <w:szCs w:val="24"/>
          <w:lang w:eastAsia="bg-BG"/>
        </w:rPr>
        <w:t>от</w:t>
      </w:r>
      <w:r w:rsidR="00077031">
        <w:rPr>
          <w:rFonts w:ascii="Times New Roman" w:hAnsi="Times New Roman"/>
          <w:sz w:val="24"/>
          <w:szCs w:val="24"/>
          <w:lang w:val="bg-BG" w:eastAsia="bg-BG"/>
        </w:rPr>
        <w:t xml:space="preserve"> </w:t>
      </w:r>
      <w:r>
        <w:rPr>
          <w:rFonts w:ascii="Times New Roman" w:hAnsi="Times New Roman"/>
          <w:sz w:val="24"/>
          <w:szCs w:val="24"/>
          <w:lang w:eastAsia="bg-BG"/>
        </w:rPr>
        <w:t>данни и графична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визуализация</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персонален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компютър. Програматор</w:t>
      </w:r>
      <w:r w:rsidR="00077031">
        <w:rPr>
          <w:rFonts w:ascii="Times New Roman" w:hAnsi="Times New Roman"/>
          <w:sz w:val="24"/>
          <w:szCs w:val="24"/>
          <w:lang w:val="bg-BG" w:eastAsia="bg-BG"/>
        </w:rPr>
        <w:t xml:space="preserve"> </w:t>
      </w:r>
      <w:r>
        <w:rPr>
          <w:rFonts w:ascii="Times New Roman" w:hAnsi="Times New Roman"/>
          <w:sz w:val="24"/>
          <w:szCs w:val="24"/>
          <w:lang w:eastAsia="bg-BG"/>
        </w:rPr>
        <w:t>с до 25 програмируеми</w:t>
      </w:r>
      <w:r w:rsidR="00077031">
        <w:rPr>
          <w:rFonts w:ascii="Times New Roman" w:hAnsi="Times New Roman"/>
          <w:sz w:val="24"/>
          <w:szCs w:val="24"/>
          <w:lang w:val="bg-BG" w:eastAsia="bg-BG"/>
        </w:rPr>
        <w:t xml:space="preserve"> </w:t>
      </w:r>
      <w:r>
        <w:rPr>
          <w:rFonts w:ascii="Times New Roman" w:hAnsi="Times New Roman"/>
          <w:sz w:val="24"/>
          <w:szCs w:val="24"/>
          <w:lang w:eastAsia="bg-BG"/>
        </w:rPr>
        <w:t>сегменти</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програма. Възможност</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запаметяване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до 100 програми</w:t>
      </w:r>
      <w:r w:rsidR="00077031">
        <w:rPr>
          <w:rFonts w:ascii="Times New Roman" w:hAnsi="Times New Roman"/>
          <w:sz w:val="24"/>
          <w:szCs w:val="24"/>
          <w:lang w:val="bg-BG" w:eastAsia="bg-BG"/>
        </w:rPr>
        <w:t xml:space="preserve"> </w:t>
      </w:r>
      <w:r>
        <w:rPr>
          <w:rFonts w:ascii="Times New Roman" w:hAnsi="Times New Roman"/>
          <w:sz w:val="24"/>
          <w:szCs w:val="24"/>
          <w:lang w:eastAsia="bg-BG"/>
        </w:rPr>
        <w:t>локално и допълнително</w:t>
      </w:r>
      <w:r w:rsidR="00077031">
        <w:rPr>
          <w:rFonts w:ascii="Times New Roman" w:hAnsi="Times New Roman"/>
          <w:sz w:val="24"/>
          <w:szCs w:val="24"/>
          <w:lang w:val="bg-BG" w:eastAsia="bg-BG"/>
        </w:rPr>
        <w:t xml:space="preserve"> </w:t>
      </w:r>
      <w:r>
        <w:rPr>
          <w:rFonts w:ascii="Times New Roman" w:hAnsi="Times New Roman"/>
          <w:sz w:val="24"/>
          <w:szCs w:val="24"/>
          <w:lang w:eastAsia="bg-BG"/>
        </w:rPr>
        <w:t>до 200 програми</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външен</w:t>
      </w:r>
      <w:r w:rsidR="00077031">
        <w:rPr>
          <w:rFonts w:ascii="Times New Roman" w:hAnsi="Times New Roman"/>
          <w:sz w:val="24"/>
          <w:szCs w:val="24"/>
          <w:lang w:val="bg-BG" w:eastAsia="bg-BG"/>
        </w:rPr>
        <w:t xml:space="preserve"> </w:t>
      </w:r>
      <w:r w:rsidR="003940CB">
        <w:rPr>
          <w:rFonts w:ascii="Times New Roman" w:hAnsi="Times New Roman"/>
          <w:sz w:val="24"/>
          <w:szCs w:val="24"/>
          <w:lang w:eastAsia="bg-BG"/>
        </w:rPr>
        <w:t>носител</w:t>
      </w:r>
      <w:r w:rsidR="003940CB">
        <w:rPr>
          <w:rFonts w:ascii="Times New Roman" w:hAnsi="Times New Roman"/>
          <w:sz w:val="24"/>
          <w:szCs w:val="24"/>
          <w:lang w:val="bg-BG" w:eastAsia="bg-BG"/>
        </w:rPr>
        <w:t>;</w:t>
      </w:r>
    </w:p>
    <w:p w:rsidR="00BB1CB6"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lastRenderedPageBreak/>
        <w:t>Специализиран</w:t>
      </w:r>
      <w:r w:rsidR="00077031">
        <w:rPr>
          <w:rFonts w:ascii="Times New Roman" w:hAnsi="Times New Roman"/>
          <w:sz w:val="24"/>
          <w:szCs w:val="24"/>
          <w:lang w:val="bg-BG" w:eastAsia="bg-BG"/>
        </w:rPr>
        <w:t xml:space="preserve"> </w:t>
      </w:r>
      <w:r>
        <w:rPr>
          <w:rFonts w:ascii="Times New Roman" w:hAnsi="Times New Roman"/>
          <w:sz w:val="24"/>
          <w:szCs w:val="24"/>
          <w:lang w:eastAsia="bg-BG"/>
        </w:rPr>
        <w:t>софтуер</w:t>
      </w:r>
      <w:r w:rsidR="00077031">
        <w:rPr>
          <w:rFonts w:ascii="Times New Roman" w:hAnsi="Times New Roman"/>
          <w:sz w:val="24"/>
          <w:szCs w:val="24"/>
          <w:lang w:val="bg-BG" w:eastAsia="bg-BG"/>
        </w:rPr>
        <w:t xml:space="preserve"> </w:t>
      </w:r>
      <w:r>
        <w:rPr>
          <w:rFonts w:ascii="Times New Roman" w:hAnsi="Times New Roman"/>
          <w:sz w:val="24"/>
          <w:szCs w:val="24"/>
          <w:lang w:eastAsia="bg-BG"/>
        </w:rPr>
        <w:t>за</w:t>
      </w:r>
      <w:r w:rsidR="00077031">
        <w:rPr>
          <w:rFonts w:ascii="Times New Roman" w:hAnsi="Times New Roman"/>
          <w:sz w:val="24"/>
          <w:szCs w:val="24"/>
          <w:lang w:val="bg-BG" w:eastAsia="bg-BG"/>
        </w:rPr>
        <w:t xml:space="preserve"> </w:t>
      </w:r>
      <w:r>
        <w:rPr>
          <w:rFonts w:ascii="Times New Roman" w:hAnsi="Times New Roman"/>
          <w:sz w:val="24"/>
          <w:szCs w:val="24"/>
          <w:lang w:eastAsia="bg-BG"/>
        </w:rPr>
        <w:t>свърз</w:t>
      </w:r>
      <w:r w:rsidR="00677BD8">
        <w:rPr>
          <w:rFonts w:ascii="Times New Roman" w:hAnsi="Times New Roman"/>
          <w:sz w:val="24"/>
          <w:szCs w:val="24"/>
          <w:lang w:val="bg-BG" w:eastAsia="bg-BG"/>
        </w:rPr>
        <w:t>в</w:t>
      </w:r>
      <w:r>
        <w:rPr>
          <w:rFonts w:ascii="Times New Roman" w:hAnsi="Times New Roman"/>
          <w:sz w:val="24"/>
          <w:szCs w:val="24"/>
          <w:lang w:eastAsia="bg-BG"/>
        </w:rPr>
        <w:t>ане с температурен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контролер</w:t>
      </w:r>
      <w:r w:rsidRPr="00A4227E">
        <w:rPr>
          <w:rFonts w:ascii="Times New Roman" w:hAnsi="Times New Roman"/>
          <w:sz w:val="24"/>
          <w:szCs w:val="24"/>
          <w:lang w:eastAsia="bg-BG"/>
        </w:rPr>
        <w:t>/</w:t>
      </w:r>
      <w:r>
        <w:rPr>
          <w:rFonts w:ascii="Times New Roman" w:hAnsi="Times New Roman"/>
          <w:sz w:val="24"/>
          <w:szCs w:val="24"/>
          <w:lang w:eastAsia="bg-BG"/>
        </w:rPr>
        <w:t>програматор и конфигуриране</w:t>
      </w:r>
      <w:r w:rsidRPr="00A4227E">
        <w:rPr>
          <w:rFonts w:ascii="Times New Roman" w:hAnsi="Times New Roman"/>
          <w:sz w:val="24"/>
          <w:szCs w:val="24"/>
          <w:lang w:eastAsia="bg-BG"/>
        </w:rPr>
        <w:t>/</w:t>
      </w:r>
      <w:r>
        <w:rPr>
          <w:rFonts w:ascii="Times New Roman" w:hAnsi="Times New Roman"/>
          <w:sz w:val="24"/>
          <w:szCs w:val="24"/>
          <w:lang w:eastAsia="bg-BG"/>
        </w:rPr>
        <w:t>управление</w:t>
      </w:r>
      <w:r w:rsidRPr="00A4227E">
        <w:rPr>
          <w:rFonts w:ascii="Times New Roman" w:hAnsi="Times New Roman"/>
          <w:sz w:val="24"/>
          <w:szCs w:val="24"/>
          <w:lang w:eastAsia="bg-BG"/>
        </w:rPr>
        <w:t xml:space="preserve">, </w:t>
      </w:r>
      <w:r>
        <w:rPr>
          <w:rFonts w:ascii="Times New Roman" w:hAnsi="Times New Roman"/>
          <w:sz w:val="24"/>
          <w:szCs w:val="24"/>
          <w:lang w:eastAsia="bg-BG"/>
        </w:rPr>
        <w:t>контрол</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процеси и запаметяване</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данн</w:t>
      </w:r>
      <w:r w:rsidRPr="00A4227E">
        <w:rPr>
          <w:rFonts w:ascii="Times New Roman" w:hAnsi="Times New Roman"/>
          <w:sz w:val="24"/>
          <w:szCs w:val="24"/>
          <w:lang w:eastAsia="bg-BG"/>
        </w:rPr>
        <w:t>и</w:t>
      </w:r>
      <w:r w:rsidR="00077031">
        <w:rPr>
          <w:rFonts w:ascii="Times New Roman" w:hAnsi="Times New Roman"/>
          <w:sz w:val="24"/>
          <w:szCs w:val="24"/>
          <w:lang w:val="bg-BG" w:eastAsia="bg-BG"/>
        </w:rPr>
        <w:t xml:space="preserve"> </w:t>
      </w:r>
      <w:r>
        <w:rPr>
          <w:rFonts w:ascii="Times New Roman" w:hAnsi="Times New Roman"/>
          <w:sz w:val="24"/>
          <w:szCs w:val="24"/>
          <w:lang w:eastAsia="bg-BG"/>
        </w:rPr>
        <w:t>на</w:t>
      </w:r>
      <w:r w:rsidR="00077031">
        <w:rPr>
          <w:rFonts w:ascii="Times New Roman" w:hAnsi="Times New Roman"/>
          <w:sz w:val="24"/>
          <w:szCs w:val="24"/>
          <w:lang w:val="bg-BG" w:eastAsia="bg-BG"/>
        </w:rPr>
        <w:t xml:space="preserve"> </w:t>
      </w:r>
      <w:r>
        <w:rPr>
          <w:rFonts w:ascii="Times New Roman" w:hAnsi="Times New Roman"/>
          <w:sz w:val="24"/>
          <w:szCs w:val="24"/>
          <w:lang w:eastAsia="bg-BG"/>
        </w:rPr>
        <w:t>персонален</w:t>
      </w:r>
      <w:r w:rsidR="00077031">
        <w:rPr>
          <w:rFonts w:ascii="Times New Roman" w:hAnsi="Times New Roman"/>
          <w:sz w:val="24"/>
          <w:szCs w:val="24"/>
          <w:lang w:val="bg-BG" w:eastAsia="bg-BG"/>
        </w:rPr>
        <w:t xml:space="preserve"> </w:t>
      </w:r>
      <w:r>
        <w:rPr>
          <w:rFonts w:ascii="Times New Roman" w:hAnsi="Times New Roman"/>
          <w:sz w:val="24"/>
          <w:szCs w:val="24"/>
          <w:lang w:eastAsia="bg-BG"/>
        </w:rPr>
        <w:t>компютър</w:t>
      </w:r>
      <w:r w:rsidR="003940CB">
        <w:rPr>
          <w:rFonts w:ascii="Times New Roman" w:hAnsi="Times New Roman"/>
          <w:sz w:val="24"/>
          <w:szCs w:val="24"/>
          <w:lang w:val="bg-BG" w:eastAsia="bg-BG"/>
        </w:rPr>
        <w:t>;</w:t>
      </w:r>
    </w:p>
    <w:p w:rsidR="00BB1CB6" w:rsidRPr="00DE0407" w:rsidRDefault="00BB1CB6" w:rsidP="00BB1CB6">
      <w:pPr>
        <w:pStyle w:val="ListParagraph"/>
        <w:numPr>
          <w:ilvl w:val="0"/>
          <w:numId w:val="32"/>
        </w:numPr>
        <w:spacing w:before="120" w:after="120" w:line="240" w:lineRule="auto"/>
        <w:ind w:left="272" w:hanging="272"/>
        <w:contextualSpacing w:val="0"/>
        <w:jc w:val="both"/>
        <w:rPr>
          <w:rFonts w:ascii="Times New Roman" w:hAnsi="Times New Roman"/>
          <w:sz w:val="24"/>
          <w:szCs w:val="24"/>
          <w:lang w:eastAsia="bg-BG"/>
        </w:rPr>
      </w:pPr>
      <w:r>
        <w:rPr>
          <w:rFonts w:ascii="Times New Roman" w:hAnsi="Times New Roman"/>
          <w:sz w:val="24"/>
          <w:szCs w:val="24"/>
          <w:lang w:eastAsia="bg-BG"/>
        </w:rPr>
        <w:t>Система</w:t>
      </w:r>
      <w:r w:rsidR="003940CB">
        <w:rPr>
          <w:rFonts w:ascii="Times New Roman" w:hAnsi="Times New Roman"/>
          <w:sz w:val="24"/>
          <w:szCs w:val="24"/>
          <w:lang w:val="bg-BG" w:eastAsia="bg-BG"/>
        </w:rPr>
        <w:t xml:space="preserve"> </w:t>
      </w:r>
      <w:r>
        <w:rPr>
          <w:rFonts w:ascii="Times New Roman" w:hAnsi="Times New Roman"/>
          <w:sz w:val="24"/>
          <w:szCs w:val="24"/>
          <w:lang w:eastAsia="bg-BG"/>
        </w:rPr>
        <w:t>за</w:t>
      </w:r>
      <w:r w:rsidR="003940CB">
        <w:rPr>
          <w:rFonts w:ascii="Times New Roman" w:hAnsi="Times New Roman"/>
          <w:sz w:val="24"/>
          <w:szCs w:val="24"/>
          <w:lang w:val="bg-BG" w:eastAsia="bg-BG"/>
        </w:rPr>
        <w:t xml:space="preserve"> </w:t>
      </w:r>
      <w:proofErr w:type="gramStart"/>
      <w:r>
        <w:rPr>
          <w:rFonts w:ascii="Times New Roman" w:hAnsi="Times New Roman"/>
          <w:sz w:val="24"/>
          <w:szCs w:val="24"/>
          <w:lang w:eastAsia="bg-BG"/>
        </w:rPr>
        <w:t>защита</w:t>
      </w:r>
      <w:r w:rsidR="003940CB">
        <w:rPr>
          <w:rFonts w:ascii="Times New Roman" w:hAnsi="Times New Roman"/>
          <w:sz w:val="24"/>
          <w:szCs w:val="24"/>
          <w:lang w:val="bg-BG" w:eastAsia="bg-BG"/>
        </w:rPr>
        <w:t xml:space="preserve">  о</w:t>
      </w:r>
      <w:r>
        <w:rPr>
          <w:rFonts w:ascii="Times New Roman" w:hAnsi="Times New Roman"/>
          <w:sz w:val="24"/>
          <w:szCs w:val="24"/>
          <w:lang w:eastAsia="bg-BG"/>
        </w:rPr>
        <w:t>т</w:t>
      </w:r>
      <w:proofErr w:type="gramEnd"/>
      <w:r w:rsidR="003940CB">
        <w:rPr>
          <w:rFonts w:ascii="Times New Roman" w:hAnsi="Times New Roman"/>
          <w:sz w:val="24"/>
          <w:szCs w:val="24"/>
          <w:lang w:val="bg-BG" w:eastAsia="bg-BG"/>
        </w:rPr>
        <w:t xml:space="preserve"> </w:t>
      </w:r>
      <w:r>
        <w:rPr>
          <w:rFonts w:ascii="Times New Roman" w:hAnsi="Times New Roman"/>
          <w:sz w:val="24"/>
          <w:szCs w:val="24"/>
          <w:lang w:eastAsia="bg-BG"/>
        </w:rPr>
        <w:t>прегряване с термодвойка и температурен</w:t>
      </w:r>
      <w:r w:rsidR="003940CB">
        <w:rPr>
          <w:rFonts w:ascii="Times New Roman" w:hAnsi="Times New Roman"/>
          <w:sz w:val="24"/>
          <w:szCs w:val="24"/>
          <w:lang w:val="bg-BG" w:eastAsia="bg-BG"/>
        </w:rPr>
        <w:t xml:space="preserve"> </w:t>
      </w:r>
      <w:r>
        <w:rPr>
          <w:rFonts w:ascii="Times New Roman" w:hAnsi="Times New Roman"/>
          <w:sz w:val="24"/>
          <w:szCs w:val="24"/>
          <w:lang w:eastAsia="bg-BG"/>
        </w:rPr>
        <w:t>контролер</w:t>
      </w:r>
      <w:r w:rsidR="003940CB">
        <w:rPr>
          <w:rFonts w:ascii="Times New Roman" w:hAnsi="Times New Roman"/>
          <w:sz w:val="24"/>
          <w:szCs w:val="24"/>
          <w:lang w:val="bg-BG" w:eastAsia="bg-BG"/>
        </w:rPr>
        <w:t>.</w:t>
      </w:r>
    </w:p>
    <w:bookmarkEnd w:id="39"/>
    <w:p w:rsidR="00B070D8" w:rsidRPr="009637C0" w:rsidRDefault="00B070D8" w:rsidP="00BB1CB6">
      <w:pPr>
        <w:pStyle w:val="ListParagraph1"/>
        <w:spacing w:line="276" w:lineRule="auto"/>
        <w:ind w:left="0" w:firstLine="540"/>
        <w:rPr>
          <w:rFonts w:ascii="Times New Roman" w:hAnsi="Times New Roman"/>
          <w:b/>
          <w:sz w:val="24"/>
          <w:szCs w:val="24"/>
        </w:rPr>
      </w:pPr>
    </w:p>
    <w:p w:rsidR="00B070D8" w:rsidRPr="009637C0" w:rsidRDefault="00B070D8" w:rsidP="007070C8">
      <w:pPr>
        <w:pStyle w:val="ListParagraph1"/>
        <w:spacing w:line="276" w:lineRule="auto"/>
        <w:ind w:left="0" w:firstLine="540"/>
        <w:rPr>
          <w:rFonts w:ascii="Times New Roman" w:hAnsi="Times New Roman"/>
          <w:b/>
          <w:sz w:val="24"/>
          <w:szCs w:val="24"/>
        </w:rPr>
      </w:pPr>
      <w:r w:rsidRPr="009637C0">
        <w:rPr>
          <w:rFonts w:ascii="Times New Roman" w:hAnsi="Times New Roman"/>
          <w:b/>
          <w:sz w:val="24"/>
          <w:szCs w:val="24"/>
        </w:rPr>
        <w:t>Срок за доставка на оборудването:</w:t>
      </w:r>
    </w:p>
    <w:p w:rsidR="00B070D8" w:rsidRPr="009637C0" w:rsidRDefault="00B070D8" w:rsidP="007070C8">
      <w:pPr>
        <w:pStyle w:val="ListParagraph1"/>
        <w:numPr>
          <w:ilvl w:val="0"/>
          <w:numId w:val="22"/>
        </w:numPr>
        <w:spacing w:line="276" w:lineRule="auto"/>
        <w:ind w:left="0" w:firstLine="540"/>
        <w:rPr>
          <w:rFonts w:ascii="Times New Roman" w:hAnsi="Times New Roman"/>
          <w:sz w:val="24"/>
          <w:szCs w:val="24"/>
        </w:rPr>
      </w:pPr>
      <w:r w:rsidRPr="009637C0">
        <w:rPr>
          <w:rFonts w:ascii="Times New Roman" w:hAnsi="Times New Roman"/>
          <w:sz w:val="24"/>
          <w:szCs w:val="24"/>
        </w:rPr>
        <w:t xml:space="preserve">до </w:t>
      </w:r>
      <w:r w:rsidR="00683697">
        <w:rPr>
          <w:rFonts w:ascii="Times New Roman" w:hAnsi="Times New Roman"/>
          <w:sz w:val="24"/>
          <w:szCs w:val="24"/>
          <w:lang w:val="en-US"/>
        </w:rPr>
        <w:t>2</w:t>
      </w:r>
      <w:r w:rsidR="009448E7">
        <w:rPr>
          <w:rFonts w:ascii="Times New Roman" w:hAnsi="Times New Roman"/>
          <w:sz w:val="24"/>
          <w:szCs w:val="24"/>
        </w:rPr>
        <w:t>1</w:t>
      </w:r>
      <w:r w:rsidR="00683697">
        <w:rPr>
          <w:rFonts w:ascii="Times New Roman" w:hAnsi="Times New Roman"/>
          <w:sz w:val="24"/>
          <w:szCs w:val="24"/>
          <w:lang w:val="en-US"/>
        </w:rPr>
        <w:t xml:space="preserve">0 </w:t>
      </w:r>
      <w:r w:rsidR="00765B93">
        <w:rPr>
          <w:rFonts w:ascii="Times New Roman" w:hAnsi="Times New Roman"/>
          <w:sz w:val="24"/>
          <w:szCs w:val="24"/>
        </w:rPr>
        <w:t>календарни дни</w:t>
      </w:r>
      <w:r w:rsidRPr="009637C0">
        <w:rPr>
          <w:rFonts w:ascii="Times New Roman" w:hAnsi="Times New Roman"/>
          <w:sz w:val="24"/>
          <w:szCs w:val="24"/>
        </w:rPr>
        <w:t xml:space="preserve"> след получаване на възлагателно писмо, съгласно проекта за договор. </w:t>
      </w:r>
    </w:p>
    <w:p w:rsidR="00B070D8" w:rsidRPr="009637C0" w:rsidRDefault="00B070D8" w:rsidP="007070C8">
      <w:pPr>
        <w:pStyle w:val="ListParagraph1"/>
        <w:spacing w:line="276" w:lineRule="auto"/>
        <w:ind w:firstLine="540"/>
        <w:rPr>
          <w:rFonts w:ascii="Times New Roman" w:hAnsi="Times New Roman"/>
          <w:sz w:val="24"/>
          <w:szCs w:val="24"/>
        </w:rPr>
      </w:pPr>
    </w:p>
    <w:p w:rsidR="00B070D8" w:rsidRPr="001A6368" w:rsidRDefault="00B070D8" w:rsidP="007070C8">
      <w:pPr>
        <w:pStyle w:val="ListParagraph1"/>
        <w:spacing w:line="276" w:lineRule="auto"/>
        <w:ind w:left="0" w:firstLine="540"/>
        <w:rPr>
          <w:rFonts w:ascii="Times New Roman" w:hAnsi="Times New Roman"/>
          <w:b/>
          <w:sz w:val="24"/>
          <w:szCs w:val="24"/>
        </w:rPr>
      </w:pPr>
      <w:r w:rsidRPr="001A6368">
        <w:rPr>
          <w:rFonts w:ascii="Times New Roman" w:hAnsi="Times New Roman"/>
          <w:b/>
          <w:sz w:val="24"/>
          <w:szCs w:val="24"/>
        </w:rPr>
        <w:t>Инсталация и обучение:</w:t>
      </w:r>
    </w:p>
    <w:p w:rsidR="00B070D8" w:rsidRPr="003F1026" w:rsidRDefault="00B070D8" w:rsidP="007070C8">
      <w:pPr>
        <w:numPr>
          <w:ilvl w:val="0"/>
          <w:numId w:val="23"/>
        </w:numPr>
        <w:spacing w:line="276" w:lineRule="auto"/>
        <w:ind w:left="0" w:firstLine="540"/>
        <w:jc w:val="both"/>
      </w:pPr>
      <w:r w:rsidRPr="003F1026">
        <w:t>Обучение, в И</w:t>
      </w:r>
      <w:r w:rsidR="00BB1CB6">
        <w:t>О</w:t>
      </w:r>
      <w:r w:rsidRPr="003F1026">
        <w:t>М</w:t>
      </w:r>
      <w:r w:rsidR="00BB1CB6">
        <w:t>Т</w:t>
      </w:r>
      <w:r w:rsidRPr="003F1026">
        <w:t>-БАН, за рутинна поддръжка на апарата на минимум 3 (трима) специалисти.</w:t>
      </w:r>
    </w:p>
    <w:p w:rsidR="00B070D8" w:rsidRPr="003F1026" w:rsidRDefault="00B070D8" w:rsidP="007070C8">
      <w:pPr>
        <w:numPr>
          <w:ilvl w:val="0"/>
          <w:numId w:val="23"/>
        </w:numPr>
        <w:spacing w:line="276" w:lineRule="auto"/>
        <w:ind w:left="0" w:firstLine="540"/>
        <w:jc w:val="both"/>
      </w:pPr>
      <w:r w:rsidRPr="003F1026">
        <w:t>Обучение, в И</w:t>
      </w:r>
      <w:r w:rsidR="00BB1CB6">
        <w:t>О</w:t>
      </w:r>
      <w:r w:rsidRPr="003F1026">
        <w:t>М</w:t>
      </w:r>
      <w:r w:rsidR="00BB1CB6">
        <w:t>Т</w:t>
      </w:r>
      <w:r w:rsidRPr="003F1026">
        <w:t xml:space="preserve">-БАН, за пускане на проби, работа с апарат, анализ и обработка на резултатите на минимум </w:t>
      </w:r>
      <w:r w:rsidR="00683697">
        <w:rPr>
          <w:lang w:val="en-US"/>
        </w:rPr>
        <w:t>3</w:t>
      </w:r>
      <w:r w:rsidRPr="003F1026">
        <w:t xml:space="preserve"> (</w:t>
      </w:r>
      <w:r w:rsidR="00683697">
        <w:t>трима</w:t>
      </w:r>
      <w:r w:rsidRPr="003F1026">
        <w:t xml:space="preserve">)  специалисти. </w:t>
      </w:r>
    </w:p>
    <w:p w:rsidR="007D5045" w:rsidRPr="003F1026" w:rsidRDefault="007D5045" w:rsidP="007070C8">
      <w:pPr>
        <w:pStyle w:val="ListParagraph"/>
        <w:numPr>
          <w:ilvl w:val="0"/>
          <w:numId w:val="23"/>
        </w:numPr>
        <w:spacing w:after="0"/>
        <w:ind w:left="0" w:firstLine="540"/>
        <w:jc w:val="both"/>
        <w:rPr>
          <w:rFonts w:ascii="Times New Roman" w:hAnsi="Times New Roman"/>
          <w:sz w:val="24"/>
          <w:szCs w:val="24"/>
        </w:rPr>
      </w:pPr>
      <w:r w:rsidRPr="003F1026">
        <w:rPr>
          <w:rFonts w:ascii="Times New Roman" w:hAnsi="Times New Roman"/>
          <w:sz w:val="24"/>
          <w:szCs w:val="24"/>
        </w:rPr>
        <w:t>Срок</w:t>
      </w:r>
      <w:r w:rsidR="00A70F66">
        <w:rPr>
          <w:rFonts w:ascii="Times New Roman" w:hAnsi="Times New Roman"/>
          <w:sz w:val="24"/>
          <w:szCs w:val="24"/>
          <w:lang w:val="bg-BG"/>
        </w:rPr>
        <w:t xml:space="preserve"> </w:t>
      </w:r>
      <w:r w:rsidR="0030292E" w:rsidRPr="003F1026">
        <w:rPr>
          <w:rFonts w:ascii="Times New Roman" w:hAnsi="Times New Roman"/>
          <w:sz w:val="24"/>
          <w:szCs w:val="24"/>
          <w:lang w:val="bg-BG"/>
        </w:rPr>
        <w:t>за инсталирането, извършването на приемните изпитания на място и въвеждането в експлоатация на оборудването</w:t>
      </w:r>
      <w:r w:rsidR="00B6096B">
        <w:rPr>
          <w:rFonts w:ascii="Times New Roman" w:hAnsi="Times New Roman"/>
          <w:sz w:val="24"/>
          <w:szCs w:val="24"/>
          <w:lang w:val="bg-BG"/>
        </w:rPr>
        <w:t xml:space="preserve"> е </w:t>
      </w:r>
      <w:r w:rsidR="006E3F48" w:rsidRPr="003F1026">
        <w:rPr>
          <w:rFonts w:ascii="Times New Roman" w:hAnsi="Times New Roman"/>
          <w:sz w:val="24"/>
          <w:szCs w:val="24"/>
          <w:lang w:val="bg-BG"/>
        </w:rPr>
        <w:t>до</w:t>
      </w:r>
      <w:r w:rsidR="00683697">
        <w:rPr>
          <w:rFonts w:ascii="Times New Roman" w:hAnsi="Times New Roman"/>
          <w:sz w:val="24"/>
          <w:szCs w:val="24"/>
          <w:lang w:val="bg-BG"/>
        </w:rPr>
        <w:t>30</w:t>
      </w:r>
      <w:r w:rsidR="00B6096B">
        <w:rPr>
          <w:rFonts w:ascii="Times New Roman" w:hAnsi="Times New Roman"/>
          <w:sz w:val="24"/>
          <w:szCs w:val="24"/>
          <w:lang w:val="bg-BG"/>
        </w:rPr>
        <w:t xml:space="preserve"> </w:t>
      </w:r>
      <w:r w:rsidRPr="003F1026">
        <w:rPr>
          <w:rFonts w:ascii="Times New Roman" w:hAnsi="Times New Roman"/>
          <w:sz w:val="24"/>
          <w:szCs w:val="24"/>
        </w:rPr>
        <w:t>дни</w:t>
      </w:r>
      <w:r w:rsidR="00A70F66">
        <w:rPr>
          <w:rFonts w:ascii="Times New Roman" w:hAnsi="Times New Roman"/>
          <w:sz w:val="24"/>
          <w:szCs w:val="24"/>
          <w:lang w:val="bg-BG"/>
        </w:rPr>
        <w:t xml:space="preserve"> </w:t>
      </w:r>
      <w:r w:rsidRPr="003F1026">
        <w:rPr>
          <w:rFonts w:ascii="Times New Roman" w:hAnsi="Times New Roman"/>
          <w:sz w:val="24"/>
          <w:szCs w:val="24"/>
        </w:rPr>
        <w:t>след</w:t>
      </w:r>
      <w:r w:rsidR="00A70F66">
        <w:rPr>
          <w:rFonts w:ascii="Times New Roman" w:hAnsi="Times New Roman"/>
          <w:sz w:val="24"/>
          <w:szCs w:val="24"/>
          <w:lang w:val="bg-BG"/>
        </w:rPr>
        <w:t xml:space="preserve"> </w:t>
      </w:r>
      <w:r w:rsidRPr="003F1026">
        <w:rPr>
          <w:rFonts w:ascii="Times New Roman" w:hAnsi="Times New Roman"/>
          <w:sz w:val="24"/>
          <w:szCs w:val="24"/>
        </w:rPr>
        <w:t>доставката</w:t>
      </w:r>
      <w:r w:rsidR="0030292E" w:rsidRPr="003F1026">
        <w:rPr>
          <w:rFonts w:ascii="Times New Roman" w:hAnsi="Times New Roman"/>
          <w:sz w:val="24"/>
          <w:szCs w:val="24"/>
          <w:lang w:val="bg-BG"/>
        </w:rPr>
        <w:t xml:space="preserve"> на оборудването</w:t>
      </w:r>
      <w:r w:rsidRPr="003F1026">
        <w:rPr>
          <w:rFonts w:ascii="Times New Roman" w:hAnsi="Times New Roman"/>
          <w:sz w:val="24"/>
          <w:szCs w:val="24"/>
        </w:rPr>
        <w:t>;</w:t>
      </w:r>
    </w:p>
    <w:p w:rsidR="00B070D8" w:rsidRPr="003F1026" w:rsidRDefault="00B070D8" w:rsidP="007070C8">
      <w:pPr>
        <w:numPr>
          <w:ilvl w:val="0"/>
          <w:numId w:val="23"/>
        </w:numPr>
        <w:spacing w:line="276" w:lineRule="auto"/>
        <w:ind w:left="0" w:firstLine="540"/>
        <w:jc w:val="both"/>
      </w:pPr>
      <w:r w:rsidRPr="003F1026">
        <w:t>Инсталация на апарата и провеждане на калибрационни експерименти.</w:t>
      </w:r>
    </w:p>
    <w:p w:rsidR="00B070D8" w:rsidRPr="001A6368" w:rsidRDefault="00B070D8" w:rsidP="007070C8">
      <w:pPr>
        <w:pStyle w:val="ListParagraph1"/>
        <w:numPr>
          <w:ilvl w:val="0"/>
          <w:numId w:val="23"/>
        </w:numPr>
        <w:spacing w:line="276" w:lineRule="auto"/>
        <w:ind w:left="0" w:firstLine="540"/>
        <w:rPr>
          <w:rFonts w:ascii="Times New Roman" w:hAnsi="Times New Roman"/>
          <w:sz w:val="24"/>
          <w:szCs w:val="24"/>
        </w:rPr>
      </w:pPr>
      <w:r w:rsidRPr="001A6368">
        <w:rPr>
          <w:rFonts w:ascii="Times New Roman" w:hAnsi="Times New Roman"/>
          <w:sz w:val="24"/>
          <w:szCs w:val="24"/>
        </w:rPr>
        <w:t xml:space="preserve">Документация за инсталация, работа, поддръжка и ремонт на апарата, включваща подробни схеми (електрически, технически чертежи и др.) на отделните компоненти и части. </w:t>
      </w:r>
    </w:p>
    <w:p w:rsidR="007D5045" w:rsidRPr="009637C0" w:rsidRDefault="007D5045" w:rsidP="007070C8">
      <w:pPr>
        <w:pStyle w:val="ListParagraph"/>
        <w:numPr>
          <w:ilvl w:val="0"/>
          <w:numId w:val="23"/>
        </w:numPr>
        <w:spacing w:after="0" w:line="240" w:lineRule="auto"/>
        <w:ind w:left="0" w:firstLine="540"/>
        <w:jc w:val="both"/>
        <w:rPr>
          <w:rFonts w:ascii="Times New Roman" w:hAnsi="Times New Roman"/>
          <w:sz w:val="24"/>
          <w:szCs w:val="24"/>
        </w:rPr>
      </w:pPr>
      <w:r w:rsidRPr="001A6368">
        <w:rPr>
          <w:rFonts w:ascii="Times New Roman" w:hAnsi="Times New Roman"/>
          <w:sz w:val="24"/>
          <w:szCs w:val="24"/>
        </w:rPr>
        <w:t>Три</w:t>
      </w:r>
      <w:r w:rsidR="00A70F66">
        <w:rPr>
          <w:rFonts w:ascii="Times New Roman" w:hAnsi="Times New Roman"/>
          <w:sz w:val="24"/>
          <w:szCs w:val="24"/>
          <w:lang w:val="bg-BG"/>
        </w:rPr>
        <w:t xml:space="preserve"> </w:t>
      </w:r>
      <w:r w:rsidR="00BB1CB6">
        <w:rPr>
          <w:rFonts w:ascii="Times New Roman" w:hAnsi="Times New Roman"/>
          <w:sz w:val="24"/>
          <w:szCs w:val="24"/>
        </w:rPr>
        <w:t>посещени</w:t>
      </w:r>
      <w:r w:rsidR="00BB1CB6">
        <w:rPr>
          <w:rFonts w:ascii="Times New Roman" w:hAnsi="Times New Roman"/>
          <w:sz w:val="24"/>
          <w:szCs w:val="24"/>
          <w:lang w:val="bg-BG"/>
        </w:rPr>
        <w:t>я</w:t>
      </w:r>
      <w:r w:rsidRPr="001A6368">
        <w:rPr>
          <w:rFonts w:ascii="Times New Roman" w:hAnsi="Times New Roman"/>
          <w:sz w:val="24"/>
          <w:szCs w:val="24"/>
        </w:rPr>
        <w:t>, в рамките</w:t>
      </w:r>
      <w:r w:rsidR="00A70F66">
        <w:rPr>
          <w:rFonts w:ascii="Times New Roman" w:hAnsi="Times New Roman"/>
          <w:sz w:val="24"/>
          <w:szCs w:val="24"/>
          <w:lang w:val="bg-BG"/>
        </w:rPr>
        <w:t xml:space="preserve"> </w:t>
      </w:r>
      <w:r w:rsidRPr="001A6368">
        <w:rPr>
          <w:rFonts w:ascii="Times New Roman" w:hAnsi="Times New Roman"/>
          <w:sz w:val="24"/>
          <w:szCs w:val="24"/>
        </w:rPr>
        <w:t>на</w:t>
      </w:r>
      <w:r w:rsidR="00A70F66">
        <w:rPr>
          <w:rFonts w:ascii="Times New Roman" w:hAnsi="Times New Roman"/>
          <w:sz w:val="24"/>
          <w:szCs w:val="24"/>
          <w:lang w:val="bg-BG"/>
        </w:rPr>
        <w:t xml:space="preserve"> </w:t>
      </w:r>
      <w:r w:rsidRPr="001A6368">
        <w:rPr>
          <w:rFonts w:ascii="Times New Roman" w:hAnsi="Times New Roman"/>
          <w:sz w:val="24"/>
          <w:szCs w:val="24"/>
        </w:rPr>
        <w:t>гаранционното</w:t>
      </w:r>
      <w:r w:rsidR="00A70F66">
        <w:rPr>
          <w:rFonts w:ascii="Times New Roman" w:hAnsi="Times New Roman"/>
          <w:sz w:val="24"/>
          <w:szCs w:val="24"/>
          <w:lang w:val="bg-BG"/>
        </w:rPr>
        <w:t xml:space="preserve"> </w:t>
      </w:r>
      <w:r w:rsidRPr="001A6368">
        <w:rPr>
          <w:rFonts w:ascii="Times New Roman" w:hAnsi="Times New Roman"/>
          <w:sz w:val="24"/>
          <w:szCs w:val="24"/>
        </w:rPr>
        <w:t>обслужва</w:t>
      </w:r>
      <w:r w:rsidR="00BB1CB6">
        <w:rPr>
          <w:rFonts w:ascii="Times New Roman" w:hAnsi="Times New Roman"/>
          <w:sz w:val="24"/>
          <w:szCs w:val="24"/>
          <w:lang w:val="bg-BG"/>
        </w:rPr>
        <w:t>н</w:t>
      </w:r>
      <w:r w:rsidRPr="001A6368">
        <w:rPr>
          <w:rFonts w:ascii="Times New Roman" w:hAnsi="Times New Roman"/>
          <w:sz w:val="24"/>
          <w:szCs w:val="24"/>
        </w:rPr>
        <w:t>е, на</w:t>
      </w:r>
      <w:r w:rsidR="00A70F66">
        <w:rPr>
          <w:rFonts w:ascii="Times New Roman" w:hAnsi="Times New Roman"/>
          <w:sz w:val="24"/>
          <w:szCs w:val="24"/>
          <w:lang w:val="bg-BG"/>
        </w:rPr>
        <w:t xml:space="preserve"> </w:t>
      </w:r>
      <w:r w:rsidRPr="001A6368">
        <w:rPr>
          <w:rFonts w:ascii="Times New Roman" w:hAnsi="Times New Roman"/>
          <w:sz w:val="24"/>
          <w:szCs w:val="24"/>
        </w:rPr>
        <w:t>оторизиран</w:t>
      </w:r>
      <w:r w:rsidR="00A70F66">
        <w:rPr>
          <w:rFonts w:ascii="Times New Roman" w:hAnsi="Times New Roman"/>
          <w:sz w:val="24"/>
          <w:szCs w:val="24"/>
          <w:lang w:val="bg-BG"/>
        </w:rPr>
        <w:t xml:space="preserve"> </w:t>
      </w:r>
      <w:r w:rsidRPr="001A6368">
        <w:rPr>
          <w:rFonts w:ascii="Times New Roman" w:hAnsi="Times New Roman"/>
          <w:sz w:val="24"/>
          <w:szCs w:val="24"/>
        </w:rPr>
        <w:t>специалист</w:t>
      </w:r>
      <w:r w:rsidR="00A70F66">
        <w:rPr>
          <w:rFonts w:ascii="Times New Roman" w:hAnsi="Times New Roman"/>
          <w:sz w:val="24"/>
          <w:szCs w:val="24"/>
          <w:lang w:val="bg-BG"/>
        </w:rPr>
        <w:t xml:space="preserve"> </w:t>
      </w:r>
      <w:r w:rsidRPr="001A6368">
        <w:rPr>
          <w:rFonts w:ascii="Times New Roman" w:hAnsi="Times New Roman"/>
          <w:sz w:val="24"/>
          <w:szCs w:val="24"/>
        </w:rPr>
        <w:t>за</w:t>
      </w:r>
      <w:r w:rsidR="00A70F66">
        <w:rPr>
          <w:rFonts w:ascii="Times New Roman" w:hAnsi="Times New Roman"/>
          <w:sz w:val="24"/>
          <w:szCs w:val="24"/>
          <w:lang w:val="bg-BG"/>
        </w:rPr>
        <w:t xml:space="preserve"> </w:t>
      </w:r>
      <w:r w:rsidRPr="009637C0">
        <w:rPr>
          <w:rFonts w:ascii="Times New Roman" w:hAnsi="Times New Roman"/>
          <w:sz w:val="24"/>
          <w:szCs w:val="24"/>
        </w:rPr>
        <w:t>рутинна</w:t>
      </w:r>
      <w:r w:rsidR="00A70F66">
        <w:rPr>
          <w:rFonts w:ascii="Times New Roman" w:hAnsi="Times New Roman"/>
          <w:sz w:val="24"/>
          <w:szCs w:val="24"/>
          <w:lang w:val="bg-BG"/>
        </w:rPr>
        <w:t xml:space="preserve"> </w:t>
      </w:r>
      <w:r w:rsidRPr="009637C0">
        <w:rPr>
          <w:rFonts w:ascii="Times New Roman" w:hAnsi="Times New Roman"/>
          <w:sz w:val="24"/>
          <w:szCs w:val="24"/>
        </w:rPr>
        <w:t>поддръжка,  при</w:t>
      </w:r>
      <w:r w:rsidR="00A70F66">
        <w:rPr>
          <w:rFonts w:ascii="Times New Roman" w:hAnsi="Times New Roman"/>
          <w:sz w:val="24"/>
          <w:szCs w:val="24"/>
          <w:lang w:val="bg-BG"/>
        </w:rPr>
        <w:t xml:space="preserve"> </w:t>
      </w:r>
      <w:r w:rsidRPr="009637C0">
        <w:rPr>
          <w:rFonts w:ascii="Times New Roman" w:hAnsi="Times New Roman"/>
          <w:sz w:val="24"/>
          <w:szCs w:val="24"/>
        </w:rPr>
        <w:t>заявка</w:t>
      </w:r>
      <w:r w:rsidR="00A70F66">
        <w:rPr>
          <w:rFonts w:ascii="Times New Roman" w:hAnsi="Times New Roman"/>
          <w:sz w:val="24"/>
          <w:szCs w:val="24"/>
          <w:lang w:val="bg-BG"/>
        </w:rPr>
        <w:t xml:space="preserve"> </w:t>
      </w:r>
      <w:r w:rsidRPr="009637C0">
        <w:rPr>
          <w:rFonts w:ascii="Times New Roman" w:hAnsi="Times New Roman"/>
          <w:sz w:val="24"/>
          <w:szCs w:val="24"/>
        </w:rPr>
        <w:t>от</w:t>
      </w:r>
      <w:r w:rsidR="00A70F66">
        <w:rPr>
          <w:rFonts w:ascii="Times New Roman" w:hAnsi="Times New Roman"/>
          <w:sz w:val="24"/>
          <w:szCs w:val="24"/>
          <w:lang w:val="bg-BG"/>
        </w:rPr>
        <w:t xml:space="preserve"> </w:t>
      </w:r>
      <w:r w:rsidRPr="009637C0">
        <w:rPr>
          <w:rFonts w:ascii="Times New Roman" w:hAnsi="Times New Roman"/>
          <w:sz w:val="24"/>
          <w:szCs w:val="24"/>
        </w:rPr>
        <w:t>страна</w:t>
      </w:r>
      <w:r w:rsidR="00A70F66">
        <w:rPr>
          <w:rFonts w:ascii="Times New Roman" w:hAnsi="Times New Roman"/>
          <w:sz w:val="24"/>
          <w:szCs w:val="24"/>
          <w:lang w:val="bg-BG"/>
        </w:rPr>
        <w:t xml:space="preserve"> </w:t>
      </w:r>
      <w:r w:rsidRPr="009637C0">
        <w:rPr>
          <w:rFonts w:ascii="Times New Roman" w:hAnsi="Times New Roman"/>
          <w:sz w:val="24"/>
          <w:szCs w:val="24"/>
        </w:rPr>
        <w:t>на</w:t>
      </w:r>
      <w:r w:rsidR="00A70F66">
        <w:rPr>
          <w:rFonts w:ascii="Times New Roman" w:hAnsi="Times New Roman"/>
          <w:sz w:val="24"/>
          <w:szCs w:val="24"/>
          <w:lang w:val="bg-BG"/>
        </w:rPr>
        <w:t xml:space="preserve"> </w:t>
      </w:r>
      <w:r w:rsidRPr="009637C0">
        <w:rPr>
          <w:rFonts w:ascii="Times New Roman" w:hAnsi="Times New Roman"/>
          <w:sz w:val="24"/>
          <w:szCs w:val="24"/>
        </w:rPr>
        <w:t>възложителя;</w:t>
      </w:r>
    </w:p>
    <w:p w:rsidR="00B070D8" w:rsidRPr="009637C0" w:rsidRDefault="00B070D8" w:rsidP="007070C8">
      <w:pPr>
        <w:spacing w:line="276" w:lineRule="auto"/>
        <w:ind w:firstLine="540"/>
        <w:jc w:val="both"/>
      </w:pPr>
    </w:p>
    <w:p w:rsidR="00B070D8" w:rsidRPr="00995265" w:rsidRDefault="00B070D8" w:rsidP="007070C8">
      <w:pPr>
        <w:spacing w:line="276" w:lineRule="auto"/>
        <w:ind w:firstLine="540"/>
        <w:jc w:val="both"/>
        <w:rPr>
          <w:b/>
        </w:rPr>
      </w:pPr>
    </w:p>
    <w:p w:rsidR="008A2DC5" w:rsidRPr="008A2DC5" w:rsidRDefault="008A2DC5" w:rsidP="008A2DC5">
      <w:pPr>
        <w:jc w:val="both"/>
        <w:rPr>
          <w:noProof/>
        </w:rPr>
      </w:pPr>
      <w:r>
        <w:rPr>
          <w:b/>
        </w:rPr>
        <w:tab/>
      </w:r>
      <w:r w:rsidR="00B070D8" w:rsidRPr="008A2DC5">
        <w:rPr>
          <w:b/>
        </w:rPr>
        <w:t xml:space="preserve">2 .  </w:t>
      </w:r>
      <w:r w:rsidRPr="008A2DC5">
        <w:rPr>
          <w:b/>
          <w:noProof/>
        </w:rPr>
        <w:t>КРИТЕРИЙ ЗА ВЪЗЛАГАНЕ НА ПОРЪЧКАТА</w:t>
      </w:r>
      <w:r w:rsidRPr="008A2DC5">
        <w:rPr>
          <w:noProof/>
        </w:rPr>
        <w:t>.</w:t>
      </w:r>
    </w:p>
    <w:p w:rsidR="008A2DC5" w:rsidRPr="008A2DC5" w:rsidRDefault="008A2DC5" w:rsidP="008A2DC5">
      <w:pPr>
        <w:jc w:val="both"/>
        <w:rPr>
          <w:rFonts w:eastAsia="Calibri"/>
          <w:bCs/>
          <w:lang w:eastAsia="en-US"/>
        </w:rPr>
      </w:pPr>
      <w:r w:rsidRPr="008A2DC5">
        <w:rPr>
          <w:rFonts w:eastAsia="Calibri"/>
          <w:bCs/>
          <w:lang w:eastAsia="en-US"/>
        </w:rPr>
        <w:tab/>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3 от ЗОП – „</w:t>
      </w:r>
      <w:r w:rsidRPr="008A2DC5">
        <w:rPr>
          <w:bCs/>
        </w:rPr>
        <w:t>Оптимално съотношение качество /цена</w:t>
      </w:r>
      <w:r w:rsidRPr="008A2DC5">
        <w:rPr>
          <w:b/>
          <w:bCs/>
        </w:rPr>
        <w:t>“</w:t>
      </w:r>
      <w:r w:rsidRPr="008A2DC5">
        <w:rPr>
          <w:rFonts w:eastAsia="Calibri"/>
          <w:bCs/>
          <w:lang w:eastAsia="en-US"/>
        </w:rPr>
        <w:t>.</w:t>
      </w:r>
    </w:p>
    <w:p w:rsidR="008A2DC5" w:rsidRPr="008A2DC5" w:rsidRDefault="008A2DC5" w:rsidP="008A2DC5">
      <w:pPr>
        <w:pStyle w:val="Default"/>
        <w:ind w:firstLine="567"/>
        <w:jc w:val="both"/>
        <w:rPr>
          <w:lang w:val="bg-BG"/>
        </w:rPr>
      </w:pPr>
      <w:r w:rsidRPr="008A2DC5">
        <w:rPr>
          <w:lang w:val="bg-BG"/>
        </w:rPr>
        <w:t>Класирането на допуснатите до участие оферти се извършва на база</w:t>
      </w:r>
      <w:r w:rsidR="00B575D3">
        <w:rPr>
          <w:lang w:val="bg-BG"/>
        </w:rPr>
        <w:t xml:space="preserve"> </w:t>
      </w:r>
      <w:r w:rsidRPr="008A2DC5">
        <w:rPr>
          <w:lang w:val="bg-BG"/>
        </w:rPr>
        <w:t xml:space="preserve">получената от всяка оферта “Комплексна оценка” - (КО). Комплексната оценка на офертата на всеки от участниците се определя като сума от оценките по отделните показатели, умножени по съответните им относителни тегла. Максималната обща оценка е 100 точки. </w:t>
      </w:r>
    </w:p>
    <w:p w:rsidR="008A2DC5" w:rsidRPr="008A2DC5" w:rsidRDefault="008A2DC5" w:rsidP="008A2DC5">
      <w:pPr>
        <w:spacing w:before="120" w:after="120"/>
        <w:jc w:val="both"/>
        <w:rPr>
          <w:b/>
          <w:color w:val="000000"/>
        </w:rPr>
      </w:pPr>
      <w:r w:rsidRPr="008A2DC5">
        <w:t>Показателите, избрани за оценка на офертите и съответните им относителни тегла в комплексната оценка, са п</w:t>
      </w:r>
      <w:r w:rsidRPr="008A2DC5">
        <w:rPr>
          <w:color w:val="000000"/>
        </w:rPr>
        <w:t>редставени в следната таблица</w:t>
      </w:r>
      <w:r w:rsidRPr="008A2DC5">
        <w:rPr>
          <w:b/>
          <w:color w:val="000000"/>
        </w:rPr>
        <w:t>:</w:t>
      </w:r>
    </w:p>
    <w:tbl>
      <w:tblPr>
        <w:tblW w:w="9720" w:type="dxa"/>
        <w:tblInd w:w="108" w:type="dxa"/>
        <w:tblLayout w:type="fixed"/>
        <w:tblLook w:val="0000" w:firstRow="0" w:lastRow="0" w:firstColumn="0" w:lastColumn="0" w:noHBand="0" w:noVBand="0"/>
      </w:tblPr>
      <w:tblGrid>
        <w:gridCol w:w="4678"/>
        <w:gridCol w:w="1701"/>
        <w:gridCol w:w="1701"/>
        <w:gridCol w:w="1640"/>
      </w:tblGrid>
      <w:tr w:rsidR="008A2DC5" w:rsidRPr="008A2DC5" w:rsidTr="001516E6">
        <w:tc>
          <w:tcPr>
            <w:tcW w:w="4678"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center"/>
              <w:rPr>
                <w:b/>
              </w:rPr>
            </w:pPr>
            <w:r w:rsidRPr="008A2DC5">
              <w:rPr>
                <w:b/>
              </w:rPr>
              <w:t>Показател(наименование)</w:t>
            </w:r>
          </w:p>
        </w:tc>
        <w:tc>
          <w:tcPr>
            <w:tcW w:w="1701"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center"/>
              <w:rPr>
                <w:b/>
              </w:rPr>
            </w:pPr>
            <w:r w:rsidRPr="008A2DC5">
              <w:rPr>
                <w:b/>
              </w:rPr>
              <w:t>Относително тегло</w:t>
            </w:r>
          </w:p>
        </w:tc>
        <w:tc>
          <w:tcPr>
            <w:tcW w:w="1701"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center"/>
              <w:rPr>
                <w:b/>
              </w:rPr>
            </w:pPr>
            <w:r w:rsidRPr="008A2DC5">
              <w:rPr>
                <w:b/>
              </w:rPr>
              <w:t>Максимално възможен брой точки</w:t>
            </w:r>
          </w:p>
        </w:tc>
        <w:tc>
          <w:tcPr>
            <w:tcW w:w="1640" w:type="dxa"/>
            <w:tcBorders>
              <w:top w:val="single" w:sz="4" w:space="0" w:color="000000"/>
              <w:left w:val="single" w:sz="4" w:space="0" w:color="000000"/>
              <w:bottom w:val="single" w:sz="4" w:space="0" w:color="000000"/>
              <w:right w:val="single" w:sz="4" w:space="0" w:color="000000"/>
            </w:tcBorders>
          </w:tcPr>
          <w:p w:rsidR="008A2DC5" w:rsidRPr="008A2DC5" w:rsidRDefault="008A2DC5" w:rsidP="001516E6">
            <w:pPr>
              <w:snapToGrid w:val="0"/>
              <w:spacing w:before="120" w:after="120"/>
              <w:jc w:val="center"/>
              <w:rPr>
                <w:b/>
              </w:rPr>
            </w:pPr>
            <w:r w:rsidRPr="008A2DC5">
              <w:rPr>
                <w:b/>
              </w:rPr>
              <w:t>Символно обозначение на показателя</w:t>
            </w:r>
          </w:p>
        </w:tc>
      </w:tr>
      <w:tr w:rsidR="008A2DC5" w:rsidRPr="008A2DC5" w:rsidTr="001516E6">
        <w:tc>
          <w:tcPr>
            <w:tcW w:w="4678"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both"/>
              <w:rPr>
                <w:b/>
              </w:rPr>
            </w:pPr>
            <w:r w:rsidRPr="008A2DC5">
              <w:t>1. Показател „цена”</w:t>
            </w:r>
          </w:p>
        </w:tc>
        <w:tc>
          <w:tcPr>
            <w:tcW w:w="1701" w:type="dxa"/>
            <w:tcBorders>
              <w:top w:val="single" w:sz="4" w:space="0" w:color="000000"/>
              <w:left w:val="single" w:sz="4" w:space="0" w:color="000000"/>
              <w:bottom w:val="single" w:sz="4" w:space="0" w:color="000000"/>
            </w:tcBorders>
          </w:tcPr>
          <w:p w:rsidR="008A2DC5" w:rsidRPr="008A2DC5" w:rsidRDefault="008A2DC5" w:rsidP="00942DCB">
            <w:pPr>
              <w:snapToGrid w:val="0"/>
              <w:spacing w:before="120" w:after="120"/>
              <w:jc w:val="center"/>
            </w:pPr>
            <w:r w:rsidRPr="008A2DC5">
              <w:t>0.</w:t>
            </w:r>
            <w:r w:rsidR="00942DCB">
              <w:t>40</w:t>
            </w:r>
            <w:r w:rsidRPr="008A2DC5">
              <w:t xml:space="preserve"> (</w:t>
            </w:r>
            <w:r w:rsidR="00942DCB">
              <w:t>4</w:t>
            </w:r>
            <w:r w:rsidRPr="008A2DC5">
              <w:t>0%)</w:t>
            </w:r>
          </w:p>
        </w:tc>
        <w:tc>
          <w:tcPr>
            <w:tcW w:w="1701"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center"/>
            </w:pPr>
            <w:r w:rsidRPr="008A2DC5">
              <w:t>100</w:t>
            </w:r>
          </w:p>
        </w:tc>
        <w:tc>
          <w:tcPr>
            <w:tcW w:w="1640" w:type="dxa"/>
            <w:tcBorders>
              <w:top w:val="single" w:sz="4" w:space="0" w:color="000000"/>
              <w:left w:val="single" w:sz="4" w:space="0" w:color="000000"/>
              <w:bottom w:val="single" w:sz="4" w:space="0" w:color="000000"/>
              <w:right w:val="single" w:sz="4" w:space="0" w:color="000000"/>
            </w:tcBorders>
          </w:tcPr>
          <w:p w:rsidR="008A2DC5" w:rsidRPr="008A2DC5" w:rsidRDefault="008A2DC5" w:rsidP="001516E6">
            <w:pPr>
              <w:snapToGrid w:val="0"/>
              <w:spacing w:before="120" w:after="120"/>
              <w:jc w:val="center"/>
              <w:rPr>
                <w:b/>
              </w:rPr>
            </w:pPr>
            <w:r w:rsidRPr="008A2DC5">
              <w:rPr>
                <w:b/>
              </w:rPr>
              <w:t>Пц</w:t>
            </w:r>
          </w:p>
        </w:tc>
      </w:tr>
      <w:tr w:rsidR="008A2DC5" w:rsidRPr="008A2DC5" w:rsidTr="001516E6">
        <w:tc>
          <w:tcPr>
            <w:tcW w:w="4678"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rPr>
                <w:b/>
              </w:rPr>
            </w:pPr>
            <w:r w:rsidRPr="008A2DC5">
              <w:t>2. Показател „технически характеристики”</w:t>
            </w:r>
          </w:p>
        </w:tc>
        <w:tc>
          <w:tcPr>
            <w:tcW w:w="1701" w:type="dxa"/>
            <w:tcBorders>
              <w:top w:val="single" w:sz="4" w:space="0" w:color="000000"/>
              <w:left w:val="single" w:sz="4" w:space="0" w:color="000000"/>
              <w:bottom w:val="single" w:sz="4" w:space="0" w:color="000000"/>
            </w:tcBorders>
          </w:tcPr>
          <w:p w:rsidR="008A2DC5" w:rsidRPr="008A2DC5" w:rsidRDefault="008A2DC5" w:rsidP="00942DCB">
            <w:pPr>
              <w:snapToGrid w:val="0"/>
              <w:spacing w:before="120" w:after="120"/>
              <w:jc w:val="center"/>
            </w:pPr>
            <w:r w:rsidRPr="008A2DC5">
              <w:t>0.</w:t>
            </w:r>
            <w:r w:rsidR="00942DCB">
              <w:t>6</w:t>
            </w:r>
            <w:r w:rsidRPr="008A2DC5">
              <w:t>0 (</w:t>
            </w:r>
            <w:r w:rsidR="00942DCB">
              <w:t>6</w:t>
            </w:r>
            <w:r w:rsidRPr="008A2DC5">
              <w:t>0%)</w:t>
            </w:r>
          </w:p>
        </w:tc>
        <w:tc>
          <w:tcPr>
            <w:tcW w:w="1701" w:type="dxa"/>
            <w:tcBorders>
              <w:top w:val="single" w:sz="4" w:space="0" w:color="000000"/>
              <w:left w:val="single" w:sz="4" w:space="0" w:color="000000"/>
              <w:bottom w:val="single" w:sz="4" w:space="0" w:color="000000"/>
            </w:tcBorders>
          </w:tcPr>
          <w:p w:rsidR="008A2DC5" w:rsidRPr="008A2DC5" w:rsidRDefault="008A2DC5" w:rsidP="001516E6">
            <w:pPr>
              <w:snapToGrid w:val="0"/>
              <w:spacing w:before="120" w:after="120"/>
              <w:jc w:val="center"/>
            </w:pPr>
            <w:r w:rsidRPr="008A2DC5">
              <w:t>100</w:t>
            </w:r>
          </w:p>
        </w:tc>
        <w:tc>
          <w:tcPr>
            <w:tcW w:w="1640" w:type="dxa"/>
            <w:tcBorders>
              <w:top w:val="single" w:sz="4" w:space="0" w:color="000000"/>
              <w:left w:val="single" w:sz="4" w:space="0" w:color="000000"/>
              <w:bottom w:val="single" w:sz="4" w:space="0" w:color="000000"/>
              <w:right w:val="single" w:sz="4" w:space="0" w:color="000000"/>
            </w:tcBorders>
          </w:tcPr>
          <w:p w:rsidR="008A2DC5" w:rsidRPr="008A2DC5" w:rsidRDefault="008A2DC5" w:rsidP="001516E6">
            <w:pPr>
              <w:snapToGrid w:val="0"/>
              <w:spacing w:before="120" w:after="120"/>
              <w:jc w:val="center"/>
              <w:rPr>
                <w:b/>
              </w:rPr>
            </w:pPr>
            <w:r w:rsidRPr="008A2DC5">
              <w:rPr>
                <w:b/>
              </w:rPr>
              <w:t>Птх</w:t>
            </w:r>
          </w:p>
        </w:tc>
      </w:tr>
    </w:tbl>
    <w:p w:rsidR="008A2DC5" w:rsidRPr="008A2DC5" w:rsidRDefault="008A2DC5" w:rsidP="008A2DC5">
      <w:pPr>
        <w:spacing w:before="120" w:after="120"/>
        <w:jc w:val="both"/>
        <w:rPr>
          <w:b/>
          <w:color w:val="000000"/>
        </w:rPr>
      </w:pPr>
    </w:p>
    <w:p w:rsidR="008A2DC5" w:rsidRPr="008A2DC5" w:rsidRDefault="008A2DC5" w:rsidP="008A2DC5">
      <w:pPr>
        <w:spacing w:before="120" w:after="120"/>
        <w:jc w:val="both"/>
        <w:rPr>
          <w:color w:val="000000"/>
        </w:rPr>
      </w:pPr>
      <w:r w:rsidRPr="008A2DC5">
        <w:rPr>
          <w:color w:val="000000"/>
        </w:rPr>
        <w:t xml:space="preserve">Показателите, </w:t>
      </w:r>
      <w:r w:rsidRPr="008A2DC5">
        <w:t xml:space="preserve">избрани за оценка на офертите </w:t>
      </w:r>
      <w:r w:rsidRPr="008A2DC5">
        <w:rPr>
          <w:color w:val="000000"/>
        </w:rPr>
        <w:t>са:</w:t>
      </w:r>
    </w:p>
    <w:p w:rsidR="008A2DC5" w:rsidRPr="008A2DC5" w:rsidRDefault="008A2DC5" w:rsidP="008A2DC5">
      <w:pPr>
        <w:pStyle w:val="ListParagraph"/>
        <w:numPr>
          <w:ilvl w:val="0"/>
          <w:numId w:val="33"/>
        </w:numPr>
        <w:spacing w:before="120" w:after="120" w:line="240" w:lineRule="auto"/>
        <w:rPr>
          <w:rFonts w:ascii="Times New Roman" w:hAnsi="Times New Roman"/>
          <w:color w:val="000000"/>
          <w:sz w:val="24"/>
          <w:szCs w:val="24"/>
        </w:rPr>
      </w:pPr>
      <w:r w:rsidRPr="008A2DC5">
        <w:rPr>
          <w:rFonts w:ascii="Times New Roman" w:hAnsi="Times New Roman"/>
          <w:color w:val="000000"/>
          <w:sz w:val="24"/>
          <w:szCs w:val="24"/>
        </w:rPr>
        <w:lastRenderedPageBreak/>
        <w:t>Показател „цена” (</w:t>
      </w:r>
      <w:r w:rsidRPr="008A2DC5">
        <w:rPr>
          <w:rFonts w:ascii="Times New Roman" w:hAnsi="Times New Roman"/>
          <w:b/>
          <w:color w:val="000000"/>
          <w:sz w:val="24"/>
          <w:szCs w:val="24"/>
        </w:rPr>
        <w:t>Пц</w:t>
      </w:r>
      <w:r w:rsidRPr="008A2DC5">
        <w:rPr>
          <w:rFonts w:ascii="Times New Roman" w:hAnsi="Times New Roman"/>
          <w:color w:val="000000"/>
          <w:sz w:val="24"/>
          <w:szCs w:val="24"/>
        </w:rPr>
        <w:t>) – максимален</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брой</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точки 100;</w:t>
      </w:r>
    </w:p>
    <w:p w:rsidR="008A2DC5" w:rsidRPr="008A2DC5" w:rsidRDefault="008A2DC5" w:rsidP="008A2DC5">
      <w:pPr>
        <w:pStyle w:val="ListParagraph"/>
        <w:numPr>
          <w:ilvl w:val="0"/>
          <w:numId w:val="33"/>
        </w:numPr>
        <w:spacing w:before="120" w:after="120" w:line="240" w:lineRule="auto"/>
        <w:rPr>
          <w:rFonts w:ascii="Times New Roman" w:hAnsi="Times New Roman"/>
          <w:color w:val="000000"/>
          <w:sz w:val="24"/>
          <w:szCs w:val="24"/>
        </w:rPr>
      </w:pPr>
      <w:r w:rsidRPr="008A2DC5">
        <w:rPr>
          <w:rFonts w:ascii="Times New Roman" w:hAnsi="Times New Roman"/>
          <w:color w:val="000000"/>
          <w:sz w:val="24"/>
          <w:szCs w:val="24"/>
        </w:rPr>
        <w:t>Показател „технически</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характеристики” (</w:t>
      </w:r>
      <w:r w:rsidRPr="008A2DC5">
        <w:rPr>
          <w:rFonts w:ascii="Times New Roman" w:hAnsi="Times New Roman"/>
          <w:b/>
          <w:color w:val="000000"/>
          <w:sz w:val="24"/>
          <w:szCs w:val="24"/>
        </w:rPr>
        <w:t>Птх</w:t>
      </w:r>
      <w:r w:rsidRPr="008A2DC5">
        <w:rPr>
          <w:rFonts w:ascii="Times New Roman" w:hAnsi="Times New Roman"/>
          <w:color w:val="000000"/>
          <w:sz w:val="24"/>
          <w:szCs w:val="24"/>
        </w:rPr>
        <w:t>) – максимален</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брой</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точки 100;</w:t>
      </w:r>
    </w:p>
    <w:p w:rsidR="008A2DC5" w:rsidRPr="008A2DC5" w:rsidRDefault="008A2DC5" w:rsidP="008A2DC5">
      <w:pPr>
        <w:spacing w:before="120" w:after="120"/>
        <w:rPr>
          <w:color w:val="000000"/>
        </w:rPr>
      </w:pPr>
      <w:r w:rsidRPr="008A2DC5">
        <w:rPr>
          <w:color w:val="000000"/>
        </w:rPr>
        <w:t>Относителните тегла на показателите за оценка в комплексната оценка на офертата са:</w:t>
      </w:r>
    </w:p>
    <w:p w:rsidR="008A2DC5" w:rsidRPr="008A2DC5" w:rsidRDefault="008A2DC5" w:rsidP="008A2DC5">
      <w:pPr>
        <w:pStyle w:val="ListParagraph"/>
        <w:numPr>
          <w:ilvl w:val="2"/>
          <w:numId w:val="34"/>
        </w:numPr>
        <w:spacing w:before="120" w:after="120" w:line="240" w:lineRule="auto"/>
        <w:ind w:left="742" w:hanging="316"/>
        <w:rPr>
          <w:rFonts w:ascii="Times New Roman" w:hAnsi="Times New Roman"/>
          <w:color w:val="000000"/>
          <w:sz w:val="24"/>
          <w:szCs w:val="24"/>
        </w:rPr>
      </w:pPr>
      <w:r w:rsidRPr="008A2DC5">
        <w:rPr>
          <w:rFonts w:ascii="Times New Roman" w:hAnsi="Times New Roman"/>
          <w:color w:val="000000"/>
          <w:sz w:val="24"/>
          <w:szCs w:val="24"/>
        </w:rPr>
        <w:t>Показател „цена” (</w:t>
      </w:r>
      <w:r w:rsidRPr="008A2DC5">
        <w:rPr>
          <w:rFonts w:ascii="Times New Roman" w:hAnsi="Times New Roman"/>
          <w:b/>
          <w:color w:val="000000"/>
          <w:sz w:val="24"/>
          <w:szCs w:val="24"/>
        </w:rPr>
        <w:t>Пц</w:t>
      </w:r>
      <w:r w:rsidRPr="008A2DC5">
        <w:rPr>
          <w:rFonts w:ascii="Times New Roman" w:hAnsi="Times New Roman"/>
          <w:color w:val="000000"/>
          <w:sz w:val="24"/>
          <w:szCs w:val="24"/>
        </w:rPr>
        <w:t>) – с относително</w:t>
      </w:r>
      <w:r w:rsidR="00B575D3">
        <w:rPr>
          <w:rFonts w:ascii="Times New Roman" w:hAnsi="Times New Roman"/>
          <w:color w:val="000000"/>
          <w:sz w:val="24"/>
          <w:szCs w:val="24"/>
          <w:lang w:val="bg-BG"/>
        </w:rPr>
        <w:t xml:space="preserve"> </w:t>
      </w:r>
      <w:r w:rsidRPr="008A2DC5">
        <w:rPr>
          <w:rFonts w:ascii="Times New Roman" w:hAnsi="Times New Roman"/>
          <w:color w:val="000000"/>
          <w:sz w:val="24"/>
          <w:szCs w:val="24"/>
        </w:rPr>
        <w:t>тегло</w:t>
      </w:r>
      <w:r w:rsidR="00904EDA">
        <w:rPr>
          <w:rFonts w:ascii="Times New Roman" w:hAnsi="Times New Roman"/>
          <w:color w:val="000000"/>
          <w:sz w:val="24"/>
          <w:szCs w:val="24"/>
          <w:lang w:val="bg-BG"/>
        </w:rPr>
        <w:t xml:space="preserve"> </w:t>
      </w:r>
      <w:r w:rsidRPr="008A2DC5">
        <w:rPr>
          <w:rFonts w:ascii="Times New Roman" w:hAnsi="Times New Roman"/>
          <w:b/>
          <w:color w:val="000000"/>
          <w:sz w:val="24"/>
          <w:szCs w:val="24"/>
        </w:rPr>
        <w:t>0.</w:t>
      </w:r>
      <w:r w:rsidR="00942DCB">
        <w:rPr>
          <w:rFonts w:ascii="Times New Roman" w:hAnsi="Times New Roman"/>
          <w:b/>
          <w:color w:val="000000"/>
          <w:sz w:val="24"/>
          <w:szCs w:val="24"/>
          <w:lang w:val="bg-BG"/>
        </w:rPr>
        <w:t>4</w:t>
      </w:r>
      <w:r w:rsidRPr="008A2DC5">
        <w:rPr>
          <w:rFonts w:ascii="Times New Roman" w:hAnsi="Times New Roman"/>
          <w:color w:val="000000"/>
          <w:sz w:val="24"/>
          <w:szCs w:val="24"/>
        </w:rPr>
        <w:t xml:space="preserve"> (</w:t>
      </w:r>
      <w:r w:rsidR="00942DCB">
        <w:rPr>
          <w:rFonts w:ascii="Times New Roman" w:hAnsi="Times New Roman"/>
          <w:color w:val="000000"/>
          <w:sz w:val="24"/>
          <w:szCs w:val="24"/>
          <w:lang w:val="bg-BG"/>
        </w:rPr>
        <w:t>4</w:t>
      </w:r>
      <w:r w:rsidRPr="008A2DC5">
        <w:rPr>
          <w:rFonts w:ascii="Times New Roman" w:hAnsi="Times New Roman"/>
          <w:color w:val="000000"/>
          <w:sz w:val="24"/>
          <w:szCs w:val="24"/>
        </w:rPr>
        <w:t>0%) в комплексната</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оценка;</w:t>
      </w:r>
    </w:p>
    <w:p w:rsidR="008A2DC5" w:rsidRPr="008A2DC5" w:rsidRDefault="008A2DC5" w:rsidP="008A2DC5">
      <w:pPr>
        <w:pStyle w:val="ListParagraph"/>
        <w:numPr>
          <w:ilvl w:val="2"/>
          <w:numId w:val="34"/>
        </w:numPr>
        <w:spacing w:before="120" w:after="120" w:line="240" w:lineRule="auto"/>
        <w:ind w:left="709" w:hanging="283"/>
        <w:rPr>
          <w:rFonts w:ascii="Times New Roman" w:hAnsi="Times New Roman"/>
          <w:color w:val="000000"/>
          <w:sz w:val="24"/>
          <w:szCs w:val="24"/>
        </w:rPr>
      </w:pPr>
      <w:r w:rsidRPr="008A2DC5">
        <w:rPr>
          <w:rFonts w:ascii="Times New Roman" w:hAnsi="Times New Roman"/>
          <w:color w:val="000000"/>
          <w:sz w:val="24"/>
          <w:szCs w:val="24"/>
        </w:rPr>
        <w:t>Показател „технически</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характеристики” (</w:t>
      </w:r>
      <w:r w:rsidRPr="008A2DC5">
        <w:rPr>
          <w:rFonts w:ascii="Times New Roman" w:hAnsi="Times New Roman"/>
          <w:b/>
          <w:color w:val="000000"/>
          <w:sz w:val="24"/>
          <w:szCs w:val="24"/>
        </w:rPr>
        <w:t>Птх</w:t>
      </w:r>
      <w:r w:rsidRPr="008A2DC5">
        <w:rPr>
          <w:rFonts w:ascii="Times New Roman" w:hAnsi="Times New Roman"/>
          <w:color w:val="000000"/>
          <w:sz w:val="24"/>
          <w:szCs w:val="24"/>
        </w:rPr>
        <w:t>) – с относително</w:t>
      </w:r>
      <w:r w:rsidR="00B575D3">
        <w:rPr>
          <w:rFonts w:ascii="Times New Roman" w:hAnsi="Times New Roman"/>
          <w:color w:val="000000"/>
          <w:sz w:val="24"/>
          <w:szCs w:val="24"/>
          <w:lang w:val="bg-BG"/>
        </w:rPr>
        <w:t xml:space="preserve"> </w:t>
      </w:r>
      <w:r w:rsidRPr="008A2DC5">
        <w:rPr>
          <w:rFonts w:ascii="Times New Roman" w:hAnsi="Times New Roman"/>
          <w:color w:val="000000"/>
          <w:sz w:val="24"/>
          <w:szCs w:val="24"/>
        </w:rPr>
        <w:t>тегло</w:t>
      </w:r>
      <w:r w:rsidR="00B575D3">
        <w:rPr>
          <w:rFonts w:ascii="Times New Roman" w:hAnsi="Times New Roman"/>
          <w:color w:val="000000"/>
          <w:sz w:val="24"/>
          <w:szCs w:val="24"/>
          <w:lang w:val="bg-BG"/>
        </w:rPr>
        <w:t xml:space="preserve"> </w:t>
      </w:r>
      <w:r w:rsidRPr="008A2DC5">
        <w:rPr>
          <w:rFonts w:ascii="Times New Roman" w:hAnsi="Times New Roman"/>
          <w:b/>
          <w:color w:val="000000"/>
          <w:sz w:val="24"/>
          <w:szCs w:val="24"/>
        </w:rPr>
        <w:t>0.</w:t>
      </w:r>
      <w:r w:rsidR="00942DCB">
        <w:rPr>
          <w:rFonts w:ascii="Times New Roman" w:hAnsi="Times New Roman"/>
          <w:b/>
          <w:color w:val="000000"/>
          <w:sz w:val="24"/>
          <w:szCs w:val="24"/>
          <w:lang w:val="bg-BG"/>
        </w:rPr>
        <w:t>6</w:t>
      </w:r>
      <w:r w:rsidRPr="008A2DC5">
        <w:rPr>
          <w:rFonts w:ascii="Times New Roman" w:hAnsi="Times New Roman"/>
          <w:color w:val="000000"/>
          <w:sz w:val="24"/>
          <w:szCs w:val="24"/>
        </w:rPr>
        <w:t xml:space="preserve"> (</w:t>
      </w:r>
      <w:r w:rsidR="00942DCB">
        <w:rPr>
          <w:rFonts w:ascii="Times New Roman" w:hAnsi="Times New Roman"/>
          <w:color w:val="000000"/>
          <w:sz w:val="24"/>
          <w:szCs w:val="24"/>
          <w:lang w:val="bg-BG"/>
        </w:rPr>
        <w:t>6</w:t>
      </w:r>
      <w:r w:rsidRPr="008A2DC5">
        <w:rPr>
          <w:rFonts w:ascii="Times New Roman" w:hAnsi="Times New Roman"/>
          <w:color w:val="000000"/>
          <w:sz w:val="24"/>
          <w:szCs w:val="24"/>
        </w:rPr>
        <w:t>0%)  в комплексната</w:t>
      </w:r>
      <w:r w:rsidR="00904EDA">
        <w:rPr>
          <w:rFonts w:ascii="Times New Roman" w:hAnsi="Times New Roman"/>
          <w:color w:val="000000"/>
          <w:sz w:val="24"/>
          <w:szCs w:val="24"/>
          <w:lang w:val="bg-BG"/>
        </w:rPr>
        <w:t xml:space="preserve"> </w:t>
      </w:r>
      <w:r w:rsidRPr="008A2DC5">
        <w:rPr>
          <w:rFonts w:ascii="Times New Roman" w:hAnsi="Times New Roman"/>
          <w:color w:val="000000"/>
          <w:sz w:val="24"/>
          <w:szCs w:val="24"/>
        </w:rPr>
        <w:t>оценка;</w:t>
      </w:r>
    </w:p>
    <w:p w:rsidR="008A2DC5" w:rsidRPr="008A2DC5" w:rsidRDefault="008A2DC5" w:rsidP="008A2DC5">
      <w:pPr>
        <w:pStyle w:val="ListParagraph"/>
        <w:spacing w:before="120" w:after="120"/>
        <w:ind w:left="742"/>
        <w:rPr>
          <w:rFonts w:ascii="Times New Roman" w:hAnsi="Times New Roman"/>
          <w:color w:val="000000"/>
          <w:sz w:val="24"/>
          <w:szCs w:val="24"/>
        </w:rPr>
      </w:pPr>
    </w:p>
    <w:p w:rsidR="008A2DC5" w:rsidRPr="008A2DC5" w:rsidRDefault="008A2DC5" w:rsidP="008A2DC5">
      <w:pPr>
        <w:spacing w:before="120" w:after="120"/>
        <w:jc w:val="both"/>
        <w:rPr>
          <w:color w:val="000000"/>
        </w:rPr>
      </w:pPr>
      <w:r w:rsidRPr="008A2DC5">
        <w:rPr>
          <w:color w:val="000000"/>
        </w:rPr>
        <w:t>Оценката по Показателя „цена” (</w:t>
      </w:r>
      <w:r w:rsidRPr="008A2DC5">
        <w:rPr>
          <w:b/>
          <w:color w:val="000000"/>
        </w:rPr>
        <w:t>Пц</w:t>
      </w:r>
      <w:r w:rsidRPr="008A2DC5">
        <w:rPr>
          <w:color w:val="000000"/>
        </w:rPr>
        <w:t>) се определя, като се изчисли съотношението между най-ниската предложена цена (</w:t>
      </w:r>
      <w:r w:rsidRPr="008A2DC5">
        <w:rPr>
          <w:b/>
          <w:color w:val="000000"/>
        </w:rPr>
        <w:t>Цмин)</w:t>
      </w:r>
      <w:r w:rsidRPr="008A2DC5">
        <w:rPr>
          <w:color w:val="000000"/>
        </w:rPr>
        <w:t xml:space="preserve"> и цената, предложена от Участника, чиято оферта се оценява (</w:t>
      </w:r>
      <w:r w:rsidRPr="008A2DC5">
        <w:rPr>
          <w:b/>
          <w:color w:val="000000"/>
        </w:rPr>
        <w:t>Цуч</w:t>
      </w:r>
      <w:r w:rsidRPr="008A2DC5">
        <w:rPr>
          <w:color w:val="000000"/>
        </w:rPr>
        <w:t xml:space="preserve">), по следната формула: </w:t>
      </w:r>
    </w:p>
    <w:p w:rsidR="008A2DC5" w:rsidRPr="008A2DC5" w:rsidRDefault="008A2DC5" w:rsidP="008A2DC5">
      <w:pPr>
        <w:spacing w:before="120" w:after="120"/>
        <w:ind w:left="426" w:hanging="426"/>
        <w:jc w:val="both"/>
        <w:rPr>
          <w:color w:val="000000"/>
        </w:rPr>
      </w:pPr>
    </w:p>
    <w:p w:rsidR="008A2DC5" w:rsidRPr="008A2DC5" w:rsidRDefault="008A2DC5" w:rsidP="008A2DC5">
      <w:pPr>
        <w:spacing w:before="120" w:after="120"/>
        <w:ind w:left="426" w:hanging="426"/>
        <w:jc w:val="center"/>
        <w:rPr>
          <w:color w:val="000000"/>
        </w:rPr>
      </w:pPr>
      <m:oMath>
        <m:r>
          <w:rPr>
            <w:rFonts w:ascii="Cambria Math"/>
            <w:color w:val="000000"/>
          </w:rPr>
          <m:t>Пц</m:t>
        </m:r>
        <m:r>
          <w:rPr>
            <w:rFonts w:ascii="Cambria Math"/>
            <w:color w:val="000000"/>
            <w:lang w:val="ru-RU"/>
          </w:rPr>
          <m:t>=100</m:t>
        </m:r>
        <m:f>
          <m:fPr>
            <m:ctrlPr>
              <w:rPr>
                <w:rFonts w:ascii="Cambria Math" w:hAnsi="Cambria Math"/>
                <w:i/>
                <w:color w:val="000000"/>
                <w:lang w:val="en-US"/>
              </w:rPr>
            </m:ctrlPr>
          </m:fPr>
          <m:num>
            <m:r>
              <w:rPr>
                <w:rFonts w:ascii="Cambria Math"/>
                <w:color w:val="000000"/>
              </w:rPr>
              <m:t>Цмин</m:t>
            </m:r>
          </m:num>
          <m:den>
            <m:r>
              <w:rPr>
                <w:rFonts w:ascii="Cambria Math"/>
                <w:color w:val="000000"/>
                <w:lang w:val="ru-RU"/>
              </w:rPr>
              <m:t>Цуч</m:t>
            </m:r>
          </m:den>
        </m:f>
      </m:oMath>
      <w:r w:rsidRPr="008A2DC5">
        <w:rPr>
          <w:color w:val="000000"/>
        </w:rPr>
        <w:t>, където</w:t>
      </w:r>
    </w:p>
    <w:p w:rsidR="008A2DC5" w:rsidRPr="008A2DC5" w:rsidRDefault="008A2DC5" w:rsidP="008A2DC5">
      <w:pPr>
        <w:spacing w:before="120" w:after="120"/>
        <w:ind w:left="426" w:hanging="426"/>
        <w:jc w:val="center"/>
        <w:rPr>
          <w:color w:val="000000"/>
        </w:rPr>
      </w:pPr>
    </w:p>
    <w:p w:rsidR="008A2DC5" w:rsidRPr="008A2DC5" w:rsidRDefault="008A2DC5" w:rsidP="008A2DC5">
      <w:pPr>
        <w:jc w:val="both"/>
        <w:rPr>
          <w:color w:val="000000"/>
        </w:rPr>
      </w:pPr>
      <w:r w:rsidRPr="008A2DC5">
        <w:rPr>
          <w:b/>
          <w:color w:val="000000"/>
        </w:rPr>
        <w:t>Пц</w:t>
      </w:r>
      <w:r w:rsidRPr="008A2DC5">
        <w:rPr>
          <w:color w:val="000000"/>
        </w:rPr>
        <w:t xml:space="preserve"> е Показателя „цена”;</w:t>
      </w:r>
    </w:p>
    <w:p w:rsidR="008A2DC5" w:rsidRPr="008A2DC5" w:rsidRDefault="008A2DC5" w:rsidP="008A2DC5">
      <w:pPr>
        <w:jc w:val="both"/>
        <w:rPr>
          <w:color w:val="000000"/>
        </w:rPr>
      </w:pPr>
      <w:r w:rsidRPr="008A2DC5">
        <w:rPr>
          <w:b/>
          <w:color w:val="000000"/>
        </w:rPr>
        <w:t>Цмин</w:t>
      </w:r>
      <w:r w:rsidRPr="008A2DC5">
        <w:rPr>
          <w:color w:val="000000"/>
        </w:rPr>
        <w:t xml:space="preserve"> е най-ниската предложена цена;</w:t>
      </w:r>
    </w:p>
    <w:p w:rsidR="008A2DC5" w:rsidRPr="008A2DC5" w:rsidRDefault="008A2DC5" w:rsidP="008A2DC5">
      <w:pPr>
        <w:jc w:val="both"/>
        <w:rPr>
          <w:color w:val="000000"/>
        </w:rPr>
      </w:pPr>
      <w:r w:rsidRPr="008A2DC5">
        <w:rPr>
          <w:b/>
          <w:color w:val="000000"/>
        </w:rPr>
        <w:t>Цуч</w:t>
      </w:r>
      <w:r w:rsidRPr="008A2DC5">
        <w:rPr>
          <w:color w:val="000000"/>
        </w:rPr>
        <w:t xml:space="preserve"> е цената, предложена от Участника, чиято оферта се оценява;</w:t>
      </w:r>
    </w:p>
    <w:p w:rsidR="008A2DC5" w:rsidRPr="008A2DC5" w:rsidRDefault="008A2DC5" w:rsidP="008A2DC5">
      <w:pPr>
        <w:jc w:val="both"/>
        <w:rPr>
          <w:color w:val="000000"/>
        </w:rPr>
      </w:pPr>
      <w:r w:rsidRPr="008A2DC5">
        <w:rPr>
          <w:color w:val="000000"/>
        </w:rPr>
        <w:t>“</w:t>
      </w:r>
      <w:r w:rsidRPr="008A2DC5">
        <w:rPr>
          <w:b/>
          <w:color w:val="000000"/>
        </w:rPr>
        <w:t>100</w:t>
      </w:r>
      <w:r w:rsidRPr="008A2DC5">
        <w:rPr>
          <w:color w:val="000000"/>
        </w:rPr>
        <w:t>” e максималният брой точки на  показателя Пц.</w:t>
      </w:r>
    </w:p>
    <w:p w:rsidR="008A2DC5" w:rsidRPr="008A2DC5" w:rsidRDefault="008A2DC5" w:rsidP="008A2DC5">
      <w:pPr>
        <w:jc w:val="both"/>
        <w:rPr>
          <w:color w:val="000000"/>
        </w:rPr>
      </w:pPr>
    </w:p>
    <w:p w:rsidR="008A2DC5" w:rsidRPr="008A2DC5" w:rsidRDefault="008A2DC5" w:rsidP="008A2DC5">
      <w:pPr>
        <w:jc w:val="both"/>
        <w:rPr>
          <w:color w:val="000000"/>
        </w:rPr>
      </w:pPr>
      <w:r w:rsidRPr="008A2DC5">
        <w:rPr>
          <w:color w:val="000000"/>
        </w:rPr>
        <w:t>Оценката по Показателя „технически характеристики” (</w:t>
      </w:r>
      <w:r w:rsidRPr="008A2DC5">
        <w:rPr>
          <w:b/>
          <w:color w:val="000000"/>
        </w:rPr>
        <w:t>Птх</w:t>
      </w:r>
      <w:r w:rsidRPr="008A2DC5">
        <w:rPr>
          <w:color w:val="000000"/>
        </w:rPr>
        <w:t xml:space="preserve">) се определя чрез сумиране на точките на показателите </w:t>
      </w:r>
      <w:r w:rsidRPr="008A2DC5">
        <w:rPr>
          <w:b/>
          <w:color w:val="000000"/>
        </w:rPr>
        <w:t>Д</w:t>
      </w:r>
      <w:r w:rsidRPr="008A2DC5">
        <w:rPr>
          <w:b/>
          <w:i/>
          <w:color w:val="000000"/>
        </w:rPr>
        <w:t>i</w:t>
      </w:r>
      <w:r w:rsidRPr="008A2DC5">
        <w:rPr>
          <w:color w:val="000000"/>
        </w:rPr>
        <w:t>(</w:t>
      </w:r>
      <w:r w:rsidRPr="008A2DC5">
        <w:rPr>
          <w:i/>
          <w:color w:val="000000"/>
        </w:rPr>
        <w:t>i</w:t>
      </w:r>
      <w:r w:rsidRPr="008A2DC5">
        <w:rPr>
          <w:color w:val="000000"/>
        </w:rPr>
        <w:t>=1</w:t>
      </w:r>
      <w:r w:rsidR="00A7052A">
        <w:rPr>
          <w:color w:val="000000"/>
        </w:rPr>
        <w:t>,2</w:t>
      </w:r>
      <w:r w:rsidRPr="008A2DC5">
        <w:rPr>
          <w:color w:val="000000"/>
        </w:rPr>
        <w:t>) от последната колона в таблиц</w:t>
      </w:r>
      <w:r w:rsidR="00B575D3">
        <w:rPr>
          <w:color w:val="000000"/>
        </w:rPr>
        <w:t>ата</w:t>
      </w:r>
      <w:r w:rsidRPr="008A2DC5">
        <w:rPr>
          <w:color w:val="000000"/>
        </w:rPr>
        <w:t xml:space="preserve"> “Допълнителни технически изисквания и функционални възможности на оборудването”, </w:t>
      </w:r>
      <w:r w:rsidR="00A7052A">
        <w:rPr>
          <w:color w:val="000000"/>
        </w:rPr>
        <w:t>които са удовлетворени от Изпълнителя. Ако са изпълнени и двете допълнителни характеристики</w:t>
      </w:r>
      <w:r w:rsidR="00683697">
        <w:rPr>
          <w:color w:val="000000"/>
        </w:rPr>
        <w:t>, то</w:t>
      </w:r>
      <w:r w:rsidRPr="008A2DC5">
        <w:rPr>
          <w:color w:val="000000"/>
        </w:rPr>
        <w:t>:</w:t>
      </w:r>
    </w:p>
    <w:p w:rsidR="008A2DC5" w:rsidRPr="00A7052A" w:rsidRDefault="008A2DC5" w:rsidP="008A2DC5">
      <w:pPr>
        <w:spacing w:before="120" w:after="120"/>
        <w:ind w:left="426" w:hanging="426"/>
        <w:jc w:val="center"/>
        <w:rPr>
          <w:color w:val="000000"/>
        </w:rPr>
      </w:pPr>
      <m:oMathPara>
        <m:oMath>
          <m:r>
            <w:rPr>
              <w:rFonts w:ascii="Cambria Math"/>
              <w:color w:val="000000"/>
            </w:rPr>
            <m:t>Птх</m:t>
          </m:r>
          <m:r>
            <w:rPr>
              <w:rFonts w:ascii="Cambria Math"/>
              <w:color w:val="000000"/>
            </w:rPr>
            <m:t>=</m:t>
          </m:r>
          <m:r>
            <w:rPr>
              <w:rFonts w:ascii="Cambria Math"/>
              <w:color w:val="000000"/>
            </w:rPr>
            <m:t>Д</m:t>
          </m:r>
          <m:r>
            <w:rPr>
              <w:rFonts w:ascii="Cambria Math"/>
              <w:color w:val="000000"/>
            </w:rPr>
            <m:t>1</m:t>
          </m:r>
          <m:r>
            <w:rPr>
              <w:rFonts w:ascii="Cambria Math"/>
              <w:color w:val="000000"/>
              <w:lang w:val="en-US"/>
            </w:rPr>
            <m:t>+</m:t>
          </m:r>
          <m:r>
            <w:rPr>
              <w:rFonts w:ascii="Cambria Math"/>
              <w:color w:val="000000"/>
            </w:rPr>
            <m:t>Д</m:t>
          </m:r>
          <m:r>
            <w:rPr>
              <w:rFonts w:ascii="Cambria Math"/>
              <w:color w:val="000000"/>
            </w:rPr>
            <m:t>2</m:t>
          </m:r>
        </m:oMath>
      </m:oMathPara>
    </w:p>
    <w:p w:rsidR="008A2DC5" w:rsidRPr="008A2DC5" w:rsidRDefault="008A2DC5" w:rsidP="008A2DC5">
      <w:pPr>
        <w:spacing w:before="120" w:after="120"/>
        <w:ind w:left="426" w:hanging="426"/>
        <w:jc w:val="center"/>
        <w:rPr>
          <w:color w:val="000000"/>
        </w:rPr>
      </w:pPr>
    </w:p>
    <w:p w:rsidR="008A2DC5" w:rsidRPr="008A2DC5" w:rsidRDefault="008A2DC5" w:rsidP="008A2DC5">
      <w:pPr>
        <w:ind w:left="425" w:hanging="425"/>
        <w:jc w:val="both"/>
        <w:rPr>
          <w:color w:val="000000"/>
        </w:rPr>
      </w:pPr>
      <w:r w:rsidRPr="008A2DC5">
        <w:rPr>
          <w:b/>
          <w:color w:val="000000"/>
        </w:rPr>
        <w:t>Птх</w:t>
      </w:r>
      <w:r w:rsidRPr="008A2DC5">
        <w:rPr>
          <w:color w:val="000000"/>
        </w:rPr>
        <w:t xml:space="preserve"> е Показателя „технически характеристики”;</w:t>
      </w:r>
    </w:p>
    <w:p w:rsidR="008A2DC5" w:rsidRPr="008A2DC5" w:rsidRDefault="008A2DC5" w:rsidP="008A2DC5">
      <w:pPr>
        <w:ind w:left="425" w:hanging="425"/>
        <w:jc w:val="both"/>
        <w:rPr>
          <w:color w:val="000000"/>
        </w:rPr>
      </w:pPr>
      <w:r w:rsidRPr="00A7052A">
        <w:rPr>
          <w:b/>
          <w:i/>
          <w:color w:val="000000"/>
        </w:rPr>
        <w:t>Д</w:t>
      </w:r>
      <w:r w:rsidR="00A7052A">
        <w:rPr>
          <w:b/>
          <w:color w:val="000000"/>
        </w:rPr>
        <w:t xml:space="preserve">1, </w:t>
      </w:r>
      <w:r w:rsidR="00A7052A" w:rsidRPr="00A7052A">
        <w:rPr>
          <w:b/>
          <w:i/>
          <w:color w:val="000000"/>
        </w:rPr>
        <w:t>Д</w:t>
      </w:r>
      <w:r w:rsidR="00A7052A">
        <w:rPr>
          <w:b/>
          <w:color w:val="000000"/>
        </w:rPr>
        <w:t>2</w:t>
      </w:r>
      <w:r w:rsidR="00A7052A">
        <w:rPr>
          <w:color w:val="000000"/>
        </w:rPr>
        <w:t>са</w:t>
      </w:r>
      <w:r w:rsidRPr="008A2DC5">
        <w:rPr>
          <w:color w:val="000000"/>
        </w:rPr>
        <w:t xml:space="preserve"> точките на съответни</w:t>
      </w:r>
      <w:r w:rsidR="00A7052A">
        <w:rPr>
          <w:color w:val="000000"/>
        </w:rPr>
        <w:t>те</w:t>
      </w:r>
      <w:r w:rsidRPr="008A2DC5">
        <w:rPr>
          <w:color w:val="000000"/>
        </w:rPr>
        <w:t xml:space="preserve"> показател</w:t>
      </w:r>
      <w:r w:rsidR="00A7052A">
        <w:rPr>
          <w:color w:val="000000"/>
        </w:rPr>
        <w:t>и</w:t>
      </w:r>
      <w:r w:rsidRPr="008A2DC5">
        <w:rPr>
          <w:color w:val="000000"/>
        </w:rPr>
        <w:t xml:space="preserve"> от последната колона на таблицата “Допълнителни технически изисквания и функционални възможности на оборудването”;</w:t>
      </w:r>
    </w:p>
    <w:p w:rsidR="008A2DC5" w:rsidRPr="008A2DC5" w:rsidRDefault="008A2DC5" w:rsidP="008A2DC5">
      <w:pPr>
        <w:spacing w:before="120" w:after="120"/>
        <w:jc w:val="both"/>
        <w:rPr>
          <w:color w:val="000000"/>
        </w:rPr>
      </w:pPr>
      <w:r w:rsidRPr="008A2DC5">
        <w:rPr>
          <w:color w:val="000000"/>
        </w:rPr>
        <w:t>Комплексната оценка (</w:t>
      </w:r>
      <w:r w:rsidRPr="008A2DC5">
        <w:rPr>
          <w:b/>
          <w:color w:val="000000"/>
        </w:rPr>
        <w:t>КO</w:t>
      </w:r>
      <w:r w:rsidRPr="008A2DC5">
        <w:rPr>
          <w:color w:val="000000"/>
        </w:rPr>
        <w:t>) 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ще се определя съгласно следната формула:</w:t>
      </w:r>
    </w:p>
    <w:p w:rsidR="008A2DC5" w:rsidRPr="008A2DC5" w:rsidRDefault="008A2DC5" w:rsidP="008A2DC5">
      <w:pPr>
        <w:spacing w:before="120" w:after="120"/>
        <w:jc w:val="both"/>
        <w:rPr>
          <w:color w:val="000000"/>
        </w:rPr>
      </w:pPr>
    </w:p>
    <w:p w:rsidR="008A2DC5" w:rsidRPr="008A2DC5" w:rsidRDefault="008A2DC5" w:rsidP="008A2DC5">
      <w:pPr>
        <w:spacing w:before="120" w:after="120"/>
        <w:jc w:val="center"/>
        <w:rPr>
          <w:b/>
          <w:color w:val="000000"/>
        </w:rPr>
      </w:pPr>
      <w:r w:rsidRPr="008A2DC5">
        <w:rPr>
          <w:b/>
          <w:color w:val="000000"/>
        </w:rPr>
        <w:t>КO = 0.</w:t>
      </w:r>
      <w:r w:rsidR="00942DCB">
        <w:rPr>
          <w:b/>
          <w:color w:val="000000"/>
        </w:rPr>
        <w:t>4</w:t>
      </w:r>
      <w:r w:rsidRPr="008A2DC5">
        <w:rPr>
          <w:b/>
          <w:color w:val="000000"/>
        </w:rPr>
        <w:t>*Пц +0.</w:t>
      </w:r>
      <w:r w:rsidR="00942DCB">
        <w:rPr>
          <w:b/>
          <w:color w:val="000000"/>
        </w:rPr>
        <w:t>6</w:t>
      </w:r>
      <w:r w:rsidRPr="008A2DC5">
        <w:rPr>
          <w:b/>
          <w:color w:val="000000"/>
        </w:rPr>
        <w:t xml:space="preserve"> *Птх, където</w:t>
      </w:r>
    </w:p>
    <w:p w:rsidR="008A2DC5" w:rsidRPr="008A2DC5" w:rsidRDefault="008A2DC5" w:rsidP="008A2DC5">
      <w:pPr>
        <w:spacing w:before="120" w:after="120"/>
        <w:jc w:val="both"/>
        <w:rPr>
          <w:color w:val="000000"/>
        </w:rPr>
      </w:pPr>
    </w:p>
    <w:p w:rsidR="008A2DC5" w:rsidRPr="008A2DC5" w:rsidRDefault="008A2DC5" w:rsidP="008A2DC5">
      <w:pPr>
        <w:jc w:val="both"/>
        <w:rPr>
          <w:color w:val="000000"/>
        </w:rPr>
      </w:pPr>
      <w:r w:rsidRPr="008A2DC5">
        <w:rPr>
          <w:b/>
          <w:color w:val="000000"/>
        </w:rPr>
        <w:t>КO</w:t>
      </w:r>
      <w:r w:rsidRPr="008A2DC5">
        <w:rPr>
          <w:color w:val="000000"/>
        </w:rPr>
        <w:t xml:space="preserve"> e комплексната оценка;</w:t>
      </w:r>
    </w:p>
    <w:p w:rsidR="008A2DC5" w:rsidRPr="008A2DC5" w:rsidRDefault="008A2DC5" w:rsidP="008A2DC5">
      <w:pPr>
        <w:jc w:val="both"/>
        <w:rPr>
          <w:color w:val="000000"/>
        </w:rPr>
      </w:pPr>
      <w:r w:rsidRPr="008A2DC5">
        <w:rPr>
          <w:b/>
          <w:color w:val="000000"/>
        </w:rPr>
        <w:t>Пц</w:t>
      </w:r>
      <w:r w:rsidRPr="008A2DC5">
        <w:rPr>
          <w:color w:val="000000"/>
        </w:rPr>
        <w:t xml:space="preserve"> - оценката на офертата по Показателя „цена”;</w:t>
      </w:r>
    </w:p>
    <w:p w:rsidR="008A2DC5" w:rsidRPr="008A2DC5" w:rsidRDefault="008A2DC5" w:rsidP="008A2DC5">
      <w:pPr>
        <w:rPr>
          <w:color w:val="000000"/>
        </w:rPr>
      </w:pPr>
      <w:r w:rsidRPr="008A2DC5">
        <w:rPr>
          <w:b/>
          <w:color w:val="000000"/>
        </w:rPr>
        <w:t>Птх</w:t>
      </w:r>
      <w:r w:rsidRPr="008A2DC5">
        <w:rPr>
          <w:color w:val="000000"/>
        </w:rPr>
        <w:t xml:space="preserve"> е Показателя „технически характеристики”;</w:t>
      </w:r>
    </w:p>
    <w:p w:rsidR="008A2DC5" w:rsidRPr="008A2DC5" w:rsidRDefault="008A2DC5" w:rsidP="008A2DC5">
      <w:pPr>
        <w:rPr>
          <w:color w:val="000000"/>
        </w:rPr>
      </w:pPr>
      <w:r w:rsidRPr="008A2DC5">
        <w:rPr>
          <w:color w:val="000000"/>
        </w:rPr>
        <w:t>“</w:t>
      </w:r>
      <w:r w:rsidRPr="008A2DC5">
        <w:rPr>
          <w:b/>
          <w:color w:val="000000"/>
        </w:rPr>
        <w:t>0.</w:t>
      </w:r>
      <w:r w:rsidR="00942DCB">
        <w:rPr>
          <w:b/>
          <w:color w:val="000000"/>
        </w:rPr>
        <w:t>4</w:t>
      </w:r>
      <w:r w:rsidRPr="008A2DC5">
        <w:rPr>
          <w:color w:val="000000"/>
        </w:rPr>
        <w:t>” и “</w:t>
      </w:r>
      <w:r w:rsidRPr="008A2DC5">
        <w:rPr>
          <w:b/>
          <w:color w:val="000000"/>
        </w:rPr>
        <w:t>0.</w:t>
      </w:r>
      <w:r w:rsidR="00942DCB">
        <w:rPr>
          <w:b/>
          <w:color w:val="000000"/>
        </w:rPr>
        <w:t>6</w:t>
      </w:r>
      <w:r w:rsidRPr="008A2DC5">
        <w:rPr>
          <w:color w:val="000000"/>
        </w:rPr>
        <w:t>” са относителните тегла в КО на Пц и Птх</w:t>
      </w:r>
      <w:r w:rsidRPr="008A2DC5">
        <w:rPr>
          <w:b/>
          <w:color w:val="000000"/>
        </w:rPr>
        <w:t xml:space="preserve">, </w:t>
      </w:r>
      <w:r w:rsidRPr="008A2DC5">
        <w:rPr>
          <w:color w:val="000000"/>
        </w:rPr>
        <w:t>съответно.</w:t>
      </w:r>
    </w:p>
    <w:p w:rsidR="008A2DC5" w:rsidRPr="008A2DC5" w:rsidRDefault="008A2DC5" w:rsidP="008A2DC5">
      <w:pPr>
        <w:rPr>
          <w:color w:val="000000"/>
        </w:rPr>
      </w:pPr>
    </w:p>
    <w:p w:rsidR="008A2DC5" w:rsidRPr="008A2DC5" w:rsidRDefault="008A2DC5" w:rsidP="008A2DC5">
      <w:pPr>
        <w:spacing w:before="120" w:after="120"/>
        <w:jc w:val="both"/>
        <w:rPr>
          <w:color w:val="000000"/>
        </w:rPr>
      </w:pPr>
      <w:r w:rsidRPr="008A2DC5">
        <w:rPr>
          <w:color w:val="000000"/>
        </w:rPr>
        <w:t>При неизпълнение на някое от изискванията</w:t>
      </w:r>
      <w:r w:rsidR="00B575D3">
        <w:rPr>
          <w:color w:val="000000"/>
        </w:rPr>
        <w:t xml:space="preserve">, </w:t>
      </w:r>
      <w:r w:rsidRPr="008A2DC5">
        <w:rPr>
          <w:color w:val="000000"/>
        </w:rPr>
        <w:t>отбелязано като минимално</w:t>
      </w:r>
      <w:r w:rsidR="00B575D3">
        <w:rPr>
          <w:color w:val="000000"/>
        </w:rPr>
        <w:t xml:space="preserve"> </w:t>
      </w:r>
      <w:r w:rsidR="00B575D3">
        <w:rPr>
          <w:color w:val="000000"/>
          <w:lang w:val="en-US"/>
        </w:rPr>
        <w:t>(</w:t>
      </w:r>
      <w:r w:rsidR="00B575D3">
        <w:rPr>
          <w:color w:val="000000"/>
        </w:rPr>
        <w:t xml:space="preserve">Раздел </w:t>
      </w:r>
      <w:r w:rsidR="00B575D3">
        <w:rPr>
          <w:color w:val="000000"/>
          <w:lang w:val="en-US"/>
        </w:rPr>
        <w:t xml:space="preserve">V, </w:t>
      </w:r>
      <w:r w:rsidR="00B575D3">
        <w:rPr>
          <w:color w:val="000000"/>
        </w:rPr>
        <w:t>т.1 Минимални характеристики</w:t>
      </w:r>
      <w:r w:rsidR="00B575D3">
        <w:rPr>
          <w:color w:val="000000"/>
          <w:lang w:val="en-US"/>
        </w:rPr>
        <w:t>)</w:t>
      </w:r>
      <w:r w:rsidRPr="008A2DC5">
        <w:rPr>
          <w:color w:val="000000"/>
        </w:rPr>
        <w:t>, участникът ще бъде отстранен от по-нататъшно участие в процедурата.</w:t>
      </w:r>
    </w:p>
    <w:p w:rsidR="008A2DC5" w:rsidRPr="008A2DC5" w:rsidRDefault="008A2DC5" w:rsidP="008A2DC5">
      <w:pPr>
        <w:spacing w:before="120" w:after="120"/>
        <w:jc w:val="both"/>
        <w:rPr>
          <w:color w:val="000000"/>
        </w:rPr>
      </w:pPr>
      <w:r w:rsidRPr="008A2DC5">
        <w:rPr>
          <w:color w:val="000000"/>
        </w:rPr>
        <w:lastRenderedPageBreak/>
        <w:t>Класирането на участниците се извършва по низходящ ред на получената комплексна оценка, като на първо място се класира участникът, получил най-висока оценка на офертата .</w:t>
      </w:r>
    </w:p>
    <w:p w:rsidR="008A2DC5" w:rsidRPr="008A2DC5" w:rsidRDefault="008A2DC5" w:rsidP="008A2DC5">
      <w:pPr>
        <w:spacing w:before="120" w:after="120"/>
        <w:ind w:right="-1"/>
        <w:jc w:val="both"/>
        <w:rPr>
          <w:color w:val="000000"/>
        </w:rPr>
      </w:pPr>
      <w:r w:rsidRPr="008A2DC5">
        <w:rPr>
          <w:color w:val="000000"/>
        </w:rPr>
        <w:t>Допълнителните технически изисквания и функционални възможности на оборудването са както следва</w:t>
      </w:r>
      <w:r w:rsidRPr="008A2DC5">
        <w:rPr>
          <w:color w:val="000000"/>
          <w:lang w:val="en-US"/>
        </w:rPr>
        <w:t>:</w:t>
      </w:r>
    </w:p>
    <w:p w:rsidR="008A2DC5" w:rsidRPr="008A2DC5" w:rsidRDefault="008A2DC5" w:rsidP="008A2DC5">
      <w:pPr>
        <w:spacing w:before="120" w:after="120"/>
        <w:ind w:right="-1"/>
        <w:jc w:val="both"/>
        <w:rPr>
          <w:b/>
          <w:color w:val="000000"/>
        </w:rPr>
      </w:pPr>
      <w:r w:rsidRPr="008A2DC5">
        <w:rPr>
          <w:b/>
          <w:color w:val="000000"/>
        </w:rPr>
        <w:t>Таблица с допълнителни технически изисквания и функционални възможности на оборудването</w:t>
      </w:r>
    </w:p>
    <w:tbl>
      <w:tblPr>
        <w:tblW w:w="9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223"/>
        <w:gridCol w:w="1050"/>
      </w:tblGrid>
      <w:tr w:rsidR="008A2DC5" w:rsidRPr="008A2DC5" w:rsidTr="001516E6">
        <w:tc>
          <w:tcPr>
            <w:tcW w:w="8790" w:type="dxa"/>
            <w:gridSpan w:val="2"/>
          </w:tcPr>
          <w:p w:rsidR="008A2DC5" w:rsidRPr="008A2DC5" w:rsidRDefault="008A2DC5" w:rsidP="001516E6">
            <w:pPr>
              <w:spacing w:before="120" w:after="120"/>
              <w:jc w:val="center"/>
              <w:rPr>
                <w:b/>
                <w:bCs/>
              </w:rPr>
            </w:pPr>
            <w:r w:rsidRPr="008A2DC5">
              <w:rPr>
                <w:b/>
              </w:rPr>
              <w:t>ДОПЪЛНИТЕЛНИ ХАРАКТЕРИСТИКИ</w:t>
            </w:r>
          </w:p>
        </w:tc>
        <w:tc>
          <w:tcPr>
            <w:tcW w:w="1050" w:type="dxa"/>
            <w:vAlign w:val="center"/>
          </w:tcPr>
          <w:p w:rsidR="008A2DC5" w:rsidRPr="008A2DC5" w:rsidRDefault="008A2DC5" w:rsidP="001516E6">
            <w:pPr>
              <w:spacing w:before="120" w:after="120"/>
              <w:jc w:val="center"/>
              <w:rPr>
                <w:b/>
                <w:bCs/>
              </w:rPr>
            </w:pPr>
            <w:r w:rsidRPr="008A2DC5">
              <w:rPr>
                <w:b/>
                <w:bCs/>
              </w:rPr>
              <w:t>Точки</w:t>
            </w:r>
          </w:p>
        </w:tc>
      </w:tr>
      <w:tr w:rsidR="008A2DC5" w:rsidRPr="008A2DC5" w:rsidTr="001516E6">
        <w:tc>
          <w:tcPr>
            <w:tcW w:w="567" w:type="dxa"/>
          </w:tcPr>
          <w:p w:rsidR="008A2DC5" w:rsidRPr="008A2DC5" w:rsidDel="008F671C" w:rsidRDefault="008A2DC5" w:rsidP="001516E6">
            <w:pPr>
              <w:spacing w:before="120" w:after="120"/>
              <w:jc w:val="both"/>
              <w:rPr>
                <w:bCs/>
                <w:color w:val="000000"/>
              </w:rPr>
            </w:pPr>
            <w:r w:rsidRPr="008A2DC5">
              <w:rPr>
                <w:bCs/>
                <w:color w:val="000000"/>
              </w:rPr>
              <w:t>Д1</w:t>
            </w:r>
          </w:p>
        </w:tc>
        <w:tc>
          <w:tcPr>
            <w:tcW w:w="8223" w:type="dxa"/>
            <w:vAlign w:val="center"/>
          </w:tcPr>
          <w:p w:rsidR="008A2DC5" w:rsidRPr="008A2DC5" w:rsidRDefault="00A7052A" w:rsidP="00A7052A">
            <w:pPr>
              <w:spacing w:before="120" w:after="120"/>
              <w:jc w:val="both"/>
              <w:rPr>
                <w:bCs/>
              </w:rPr>
            </w:pPr>
            <w:r>
              <w:rPr>
                <w:bCs/>
                <w:color w:val="000000"/>
              </w:rPr>
              <w:t>Наличие на т</w:t>
            </w:r>
            <w:r w:rsidR="008A2DC5" w:rsidRPr="008A2DC5">
              <w:rPr>
                <w:bCs/>
                <w:color w:val="000000"/>
              </w:rPr>
              <w:t xml:space="preserve">иристорен контрол на нагряващите елементи на вертикална високотемпературна пещ за стабилизиране на температурата </w:t>
            </w:r>
          </w:p>
        </w:tc>
        <w:tc>
          <w:tcPr>
            <w:tcW w:w="1050" w:type="dxa"/>
            <w:vAlign w:val="center"/>
          </w:tcPr>
          <w:p w:rsidR="008A2DC5" w:rsidRPr="008A2DC5" w:rsidRDefault="008A2DC5" w:rsidP="001516E6">
            <w:pPr>
              <w:spacing w:before="120" w:after="120"/>
              <w:jc w:val="center"/>
              <w:rPr>
                <w:b/>
                <w:bCs/>
              </w:rPr>
            </w:pPr>
            <w:r w:rsidRPr="008A2DC5">
              <w:rPr>
                <w:b/>
                <w:bCs/>
              </w:rPr>
              <w:t>50</w:t>
            </w:r>
          </w:p>
        </w:tc>
      </w:tr>
      <w:tr w:rsidR="008A2DC5" w:rsidRPr="008A2DC5" w:rsidTr="001516E6">
        <w:trPr>
          <w:trHeight w:val="575"/>
        </w:trPr>
        <w:tc>
          <w:tcPr>
            <w:tcW w:w="567" w:type="dxa"/>
          </w:tcPr>
          <w:p w:rsidR="008A2DC5" w:rsidRPr="008A2DC5" w:rsidRDefault="008A2DC5" w:rsidP="001516E6">
            <w:pPr>
              <w:shd w:val="clear" w:color="auto" w:fill="FFFFFF"/>
              <w:spacing w:before="120" w:after="120"/>
              <w:jc w:val="both"/>
              <w:rPr>
                <w:bCs/>
              </w:rPr>
            </w:pPr>
            <w:r w:rsidRPr="008A2DC5">
              <w:rPr>
                <w:bCs/>
              </w:rPr>
              <w:t>Д2</w:t>
            </w:r>
          </w:p>
        </w:tc>
        <w:tc>
          <w:tcPr>
            <w:tcW w:w="8223" w:type="dxa"/>
          </w:tcPr>
          <w:p w:rsidR="008A2DC5" w:rsidRPr="008A2DC5" w:rsidRDefault="00A7052A" w:rsidP="00A7052A">
            <w:pPr>
              <w:shd w:val="clear" w:color="auto" w:fill="FFFFFF"/>
              <w:spacing w:before="120" w:after="120"/>
              <w:jc w:val="both"/>
              <w:rPr>
                <w:b/>
              </w:rPr>
            </w:pPr>
            <w:r>
              <w:rPr>
                <w:bCs/>
              </w:rPr>
              <w:t>Наличие на с</w:t>
            </w:r>
            <w:r w:rsidR="008A2DC5" w:rsidRPr="008A2DC5">
              <w:rPr>
                <w:bCs/>
              </w:rPr>
              <w:t xml:space="preserve">тъпков мотор с магнитно съединяване (magneticcoupling, постоянен магнит) за равномерно движение във вертикална посока </w:t>
            </w:r>
            <w:r w:rsidR="008A2DC5" w:rsidRPr="008A2DC5">
              <w:t>на тигел/ампула</w:t>
            </w:r>
            <w:r w:rsidR="008A2DC5" w:rsidRPr="008A2DC5">
              <w:rPr>
                <w:bCs/>
              </w:rPr>
              <w:t xml:space="preserve"> при израстване на кристал</w:t>
            </w:r>
          </w:p>
        </w:tc>
        <w:tc>
          <w:tcPr>
            <w:tcW w:w="1050" w:type="dxa"/>
          </w:tcPr>
          <w:p w:rsidR="008A2DC5" w:rsidRPr="008A2DC5" w:rsidRDefault="008A2DC5" w:rsidP="001516E6">
            <w:pPr>
              <w:spacing w:before="120" w:after="120"/>
              <w:jc w:val="center"/>
              <w:rPr>
                <w:b/>
              </w:rPr>
            </w:pPr>
            <w:r w:rsidRPr="008A2DC5">
              <w:rPr>
                <w:b/>
              </w:rPr>
              <w:t>50</w:t>
            </w:r>
          </w:p>
        </w:tc>
      </w:tr>
    </w:tbl>
    <w:p w:rsidR="00B070D8" w:rsidRDefault="00B070D8" w:rsidP="008A2DC5">
      <w:pPr>
        <w:spacing w:line="276" w:lineRule="auto"/>
        <w:ind w:firstLine="540"/>
        <w:jc w:val="both"/>
      </w:pPr>
    </w:p>
    <w:p w:rsidR="00164494" w:rsidRPr="00164494" w:rsidRDefault="00164494" w:rsidP="008A2DC5">
      <w:pPr>
        <w:spacing w:line="276" w:lineRule="auto"/>
        <w:ind w:firstLine="540"/>
        <w:jc w:val="both"/>
        <w:rPr>
          <w:b/>
          <w:i/>
        </w:rPr>
      </w:pPr>
      <w:r w:rsidRPr="00C158BE">
        <w:rPr>
          <w:b/>
          <w:i/>
        </w:rPr>
        <w:t>Забележка: Когато предложения уред няма наличие на някоя от допълнителните характеристики, Комисия ще присъди 0 точки за съответната допълнителна характеристика.</w:t>
      </w:r>
    </w:p>
    <w:p w:rsidR="00B070D8" w:rsidRPr="008A2DC5" w:rsidRDefault="00B070D8" w:rsidP="007070C8">
      <w:pPr>
        <w:spacing w:line="276" w:lineRule="auto"/>
        <w:ind w:firstLine="540"/>
        <w:jc w:val="both"/>
        <w:rPr>
          <w:b/>
        </w:rPr>
      </w:pPr>
    </w:p>
    <w:p w:rsidR="00B070D8" w:rsidRPr="008A2DC5" w:rsidRDefault="00B070D8" w:rsidP="007070C8">
      <w:pPr>
        <w:spacing w:line="276" w:lineRule="auto"/>
        <w:ind w:firstLine="540"/>
        <w:jc w:val="both"/>
        <w:rPr>
          <w:rFonts w:eastAsia="MS ??"/>
          <w:b/>
          <w:color w:val="000000"/>
        </w:rPr>
      </w:pPr>
      <w:r w:rsidRPr="008A2DC5">
        <w:rPr>
          <w:rFonts w:eastAsia="MS ??"/>
          <w:b/>
          <w:color w:val="000000"/>
        </w:rPr>
        <w:t>Общи принципи:</w:t>
      </w:r>
    </w:p>
    <w:p w:rsidR="00B070D8" w:rsidRPr="008A2DC5" w:rsidRDefault="00B070D8" w:rsidP="007070C8">
      <w:pPr>
        <w:spacing w:line="276" w:lineRule="auto"/>
        <w:ind w:firstLine="540"/>
        <w:jc w:val="both"/>
        <w:rPr>
          <w:rFonts w:eastAsia="MS ??"/>
          <w:color w:val="000000"/>
        </w:rPr>
      </w:pPr>
      <w:r w:rsidRPr="008A2DC5">
        <w:rPr>
          <w:rFonts w:eastAsia="MS ??"/>
          <w:color w:val="000000"/>
        </w:rPr>
        <w:t xml:space="preserve">При оценка на всеки един от показателите комисията изчислява точките с точност до втория знак след десетичната запетая.  </w:t>
      </w:r>
    </w:p>
    <w:p w:rsidR="00B070D8" w:rsidRPr="008A2DC5" w:rsidRDefault="00B070D8" w:rsidP="007070C8">
      <w:pPr>
        <w:spacing w:line="276" w:lineRule="auto"/>
        <w:ind w:firstLine="540"/>
        <w:jc w:val="both"/>
        <w:rPr>
          <w:rFonts w:eastAsia="MS ??"/>
          <w:color w:val="000000"/>
        </w:rPr>
      </w:pPr>
      <w:r w:rsidRPr="008A2DC5">
        <w:rPr>
          <w:rFonts w:eastAsia="MS ??"/>
          <w:color w:val="000000"/>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B070D8" w:rsidRPr="008A2DC5" w:rsidRDefault="00B070D8" w:rsidP="007070C8">
      <w:pPr>
        <w:spacing w:line="276" w:lineRule="auto"/>
        <w:ind w:firstLine="540"/>
        <w:jc w:val="both"/>
        <w:rPr>
          <w:rFonts w:eastAsia="MS ??"/>
          <w:color w:val="000000"/>
        </w:rPr>
      </w:pPr>
      <w:r w:rsidRPr="008A2DC5">
        <w:rPr>
          <w:rFonts w:eastAsia="MS ??"/>
          <w:color w:val="000000"/>
        </w:rPr>
        <w:t>Ако икономически най-изгодната оферта не може да бъде определена и по по-горе предвидения ред, комисията провежда публично жребий за определяне на изпълнител между класираните на първо място оферти.</w:t>
      </w:r>
    </w:p>
    <w:p w:rsidR="00B070D8" w:rsidRPr="008A2DC5" w:rsidRDefault="00B070D8" w:rsidP="007070C8">
      <w:pPr>
        <w:spacing w:line="276" w:lineRule="auto"/>
        <w:ind w:firstLine="540"/>
        <w:jc w:val="both"/>
        <w:rPr>
          <w:rFonts w:eastAsia="MS ??"/>
          <w:color w:val="000000"/>
        </w:rPr>
      </w:pPr>
      <w:r w:rsidRPr="008A2DC5">
        <w:rPr>
          <w:rFonts w:eastAsia="MS ??"/>
          <w:color w:val="000000"/>
        </w:rPr>
        <w:t>Класирането на участниците се извършва по низходящ ред на получената Комплексна оценка, като на първо място се класира участникът, получил най-много точки.</w:t>
      </w:r>
      <w:bookmarkStart w:id="40" w:name="_Toc381279485"/>
      <w:bookmarkStart w:id="41" w:name="_Toc383163963"/>
      <w:bookmarkStart w:id="42" w:name="_Toc393704529"/>
      <w:bookmarkStart w:id="43" w:name="_Toc393750634"/>
      <w:bookmarkStart w:id="44" w:name="_Toc403115098"/>
      <w:bookmarkStart w:id="45" w:name="_Toc403115292"/>
      <w:bookmarkStart w:id="46" w:name="_Toc403115356"/>
      <w:bookmarkStart w:id="47" w:name="_Toc407024471"/>
      <w:bookmarkStart w:id="48" w:name="_Toc408487476"/>
      <w:bookmarkStart w:id="49" w:name="_Toc409607403"/>
      <w:bookmarkStart w:id="50" w:name="_Toc410737597"/>
      <w:bookmarkStart w:id="51" w:name="_Toc411430886"/>
      <w:bookmarkStart w:id="52" w:name="_Toc424819531"/>
      <w:bookmarkStart w:id="53" w:name="_Toc445987089"/>
      <w:bookmarkStart w:id="54" w:name="_Toc450982666"/>
      <w:bookmarkStart w:id="55" w:name="_Toc462658444"/>
      <w:bookmarkStart w:id="56" w:name="_Toc465700371"/>
      <w:bookmarkStart w:id="57" w:name="_Toc470107495"/>
      <w:bookmarkStart w:id="58" w:name="_Toc470683309"/>
      <w:bookmarkStart w:id="59" w:name="_Toc489886125"/>
      <w:bookmarkStart w:id="60" w:name="_Toc505171839"/>
    </w:p>
    <w:p w:rsidR="00B070D8" w:rsidRPr="008A2DC5" w:rsidRDefault="00B070D8" w:rsidP="007070C8">
      <w:pPr>
        <w:spacing w:line="276" w:lineRule="auto"/>
        <w:ind w:firstLine="540"/>
        <w:jc w:val="both"/>
        <w:rPr>
          <w:rFonts w:eastAsia="MS ??"/>
          <w:color w:val="000000"/>
        </w:rPr>
      </w:pPr>
    </w:p>
    <w:p w:rsidR="00B070D8" w:rsidRPr="00995265" w:rsidRDefault="00B070D8" w:rsidP="007070C8">
      <w:pPr>
        <w:pStyle w:val="Heading1"/>
        <w:spacing w:line="276" w:lineRule="auto"/>
        <w:ind w:firstLine="540"/>
        <w:jc w:val="both"/>
        <w:rPr>
          <w:bCs w:val="0"/>
        </w:rPr>
      </w:pPr>
      <w:bookmarkStart w:id="61" w:name="_Toc450982667"/>
      <w:bookmarkStart w:id="62" w:name="_Toc462658445"/>
      <w:bookmarkStart w:id="63" w:name="_Toc465700372"/>
      <w:bookmarkStart w:id="64" w:name="_Toc470107496"/>
      <w:bookmarkStart w:id="65" w:name="_Toc470683310"/>
      <w:bookmarkStart w:id="66" w:name="_Toc486429991"/>
      <w:bookmarkStart w:id="67" w:name="_Toc49654267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95265">
        <w:tab/>
      </w:r>
      <w:bookmarkStart w:id="68" w:name="_Toc3990223"/>
      <w:proofErr w:type="gramStart"/>
      <w:r w:rsidRPr="00995265">
        <w:t>РАЗДЕЛ VI.</w:t>
      </w:r>
      <w:proofErr w:type="gramEnd"/>
      <w:r w:rsidRPr="00995265">
        <w:t xml:space="preserve"> УКАЗАНИЯ ЗА ПОДГОТОВКА НА ОФЕРТАТА И </w:t>
      </w:r>
      <w:r w:rsidRPr="00995265">
        <w:rPr>
          <w:bCs w:val="0"/>
        </w:rPr>
        <w:t>СЪДЪРЖАНИЕ</w:t>
      </w:r>
      <w:bookmarkEnd w:id="61"/>
      <w:bookmarkEnd w:id="62"/>
      <w:bookmarkEnd w:id="63"/>
      <w:bookmarkEnd w:id="64"/>
      <w:bookmarkEnd w:id="65"/>
      <w:bookmarkEnd w:id="66"/>
      <w:bookmarkEnd w:id="67"/>
      <w:bookmarkEnd w:id="68"/>
    </w:p>
    <w:p w:rsidR="00B070D8" w:rsidRPr="00995265" w:rsidRDefault="00B070D8" w:rsidP="007070C8">
      <w:pPr>
        <w:spacing w:line="276" w:lineRule="auto"/>
        <w:ind w:firstLine="540"/>
        <w:jc w:val="both"/>
      </w:pPr>
    </w:p>
    <w:p w:rsidR="00B070D8" w:rsidRPr="00995265" w:rsidRDefault="00B070D8" w:rsidP="007070C8">
      <w:pPr>
        <w:numPr>
          <w:ilvl w:val="0"/>
          <w:numId w:val="8"/>
        </w:numPr>
        <w:spacing w:line="276" w:lineRule="auto"/>
        <w:ind w:firstLine="540"/>
        <w:jc w:val="both"/>
        <w:rPr>
          <w:b/>
        </w:rPr>
      </w:pPr>
      <w:r w:rsidRPr="00995265">
        <w:rPr>
          <w:b/>
        </w:rPr>
        <w:t>Място и срок за получаване на документацията за участие</w:t>
      </w:r>
    </w:p>
    <w:p w:rsidR="00B070D8" w:rsidRDefault="00B070D8" w:rsidP="007070C8">
      <w:pPr>
        <w:spacing w:line="276" w:lineRule="auto"/>
        <w:ind w:firstLine="540"/>
        <w:jc w:val="both"/>
        <w:rPr>
          <w:rStyle w:val="Hyperlink"/>
          <w:lang w:val="en-US"/>
        </w:rPr>
      </w:pPr>
      <w:r w:rsidRPr="00995265">
        <w:t xml:space="preserve">Документацията за участие е достъпна в „Профила на купувача“ на електронната страницата на адрес: </w:t>
      </w:r>
      <w:hyperlink r:id="rId14" w:history="1">
        <w:r w:rsidR="00C113E5" w:rsidRPr="00C113E5">
          <w:rPr>
            <w:rStyle w:val="Hyperlink"/>
          </w:rPr>
          <w:t>http://www.iomt.bas.bg/профил-на-купувача</w:t>
        </w:r>
      </w:hyperlink>
    </w:p>
    <w:p w:rsidR="00C158BE" w:rsidRPr="00C158BE" w:rsidRDefault="00C158BE" w:rsidP="007070C8">
      <w:pPr>
        <w:spacing w:line="276" w:lineRule="auto"/>
        <w:ind w:firstLine="540"/>
        <w:jc w:val="both"/>
        <w:rPr>
          <w:lang w:val="en-US"/>
        </w:rPr>
      </w:pPr>
    </w:p>
    <w:p w:rsidR="00B070D8" w:rsidRPr="00C158BE" w:rsidRDefault="00B070D8" w:rsidP="00C158BE">
      <w:pPr>
        <w:numPr>
          <w:ilvl w:val="0"/>
          <w:numId w:val="8"/>
        </w:numPr>
        <w:spacing w:line="276" w:lineRule="auto"/>
        <w:ind w:firstLine="540"/>
        <w:jc w:val="both"/>
        <w:rPr>
          <w:b/>
        </w:rPr>
      </w:pPr>
      <w:r w:rsidRPr="00995265">
        <w:rPr>
          <w:b/>
        </w:rPr>
        <w:t xml:space="preserve">Посещение на място </w:t>
      </w:r>
    </w:p>
    <w:p w:rsidR="00B070D8" w:rsidRPr="00995265" w:rsidRDefault="00B070D8" w:rsidP="007070C8">
      <w:pPr>
        <w:spacing w:line="276" w:lineRule="auto"/>
        <w:ind w:firstLine="540"/>
        <w:jc w:val="both"/>
      </w:pPr>
      <w:r w:rsidRPr="00995265">
        <w:t xml:space="preserve">Преди да изготви своята оферта участникът </w:t>
      </w:r>
      <w:r>
        <w:t>може</w:t>
      </w:r>
      <w:r w:rsidRPr="00995265">
        <w:t xml:space="preserve"> да посети обекта определен за изпълнение на обществената поръчка, да се запознае с условията на място, да оцени особеностите, факторите и рисковете на същия. </w:t>
      </w:r>
      <w:r>
        <w:t>Ако</w:t>
      </w:r>
      <w:r w:rsidRPr="00995265">
        <w:t xml:space="preserve"> участникът</w:t>
      </w:r>
      <w:r>
        <w:t xml:space="preserve"> е посетил обекта следва да</w:t>
      </w:r>
      <w:r w:rsidRPr="00995265">
        <w:t xml:space="preserve"> </w:t>
      </w:r>
      <w:r w:rsidRPr="00995265">
        <w:lastRenderedPageBreak/>
        <w:t>попъл</w:t>
      </w:r>
      <w:r>
        <w:t>ни</w:t>
      </w:r>
      <w:r w:rsidRPr="00995265">
        <w:t xml:space="preserve"> и предостав</w:t>
      </w:r>
      <w:r>
        <w:t>и</w:t>
      </w:r>
      <w:r w:rsidRPr="00995265">
        <w:t xml:space="preserve"> на Възложителя </w:t>
      </w:r>
      <w:r w:rsidRPr="00295198">
        <w:t xml:space="preserve">Декларация – </w:t>
      </w:r>
      <w:r w:rsidRPr="00035ECC">
        <w:t>Приложение № 5,</w:t>
      </w:r>
      <w:r w:rsidRPr="00995265">
        <w:t xml:space="preserve"> с която декларира, че е извършил оглед на обекта.</w:t>
      </w:r>
    </w:p>
    <w:p w:rsidR="00B070D8" w:rsidRPr="00995265" w:rsidRDefault="00B070D8" w:rsidP="007070C8">
      <w:pPr>
        <w:spacing w:line="276" w:lineRule="auto"/>
        <w:ind w:firstLine="540"/>
        <w:jc w:val="both"/>
      </w:pPr>
    </w:p>
    <w:p w:rsidR="00B070D8" w:rsidRPr="00995265" w:rsidRDefault="00B070D8" w:rsidP="007070C8">
      <w:pPr>
        <w:numPr>
          <w:ilvl w:val="0"/>
          <w:numId w:val="8"/>
        </w:numPr>
        <w:spacing w:line="276" w:lineRule="auto"/>
        <w:ind w:firstLine="540"/>
        <w:jc w:val="both"/>
        <w:rPr>
          <w:b/>
        </w:rPr>
      </w:pPr>
      <w:r w:rsidRPr="00995265">
        <w:rPr>
          <w:b/>
        </w:rPr>
        <w:t>Необходими документи</w:t>
      </w:r>
    </w:p>
    <w:p w:rsidR="00B070D8" w:rsidRPr="00995265" w:rsidRDefault="00B070D8" w:rsidP="007070C8">
      <w:pPr>
        <w:spacing w:line="276" w:lineRule="auto"/>
        <w:ind w:firstLine="540"/>
        <w:jc w:val="both"/>
      </w:pPr>
      <w:r w:rsidRPr="00995265">
        <w:tab/>
        <w:t>За участие в процедурата участникът подготвя и представя оферта, която трябва да съответства напълно на изискванията на Закона за обществените поръчки и указанията от настоящата документация.</w:t>
      </w:r>
    </w:p>
    <w:p w:rsidR="00B070D8" w:rsidRPr="00995265" w:rsidRDefault="00B070D8" w:rsidP="007070C8">
      <w:pPr>
        <w:spacing w:line="276" w:lineRule="auto"/>
        <w:ind w:firstLine="540"/>
        <w:jc w:val="both"/>
      </w:pPr>
      <w:r w:rsidRPr="00995265">
        <w:tab/>
        <w:t>Офертите се представят на български език. До изтичането на срока за подаване на офертите всеки участник може да промени, да допълни или да оттегли офертата си. Всеки участник в процедура за възлагане на обществена поръчка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В процедура за възлагане на обществена поръчка едно физическо или юридическо лице може да участва само в едно обединение. Свързани лица не могат да бъдат самостоятелни участници в една и съща процедура.</w:t>
      </w:r>
    </w:p>
    <w:p w:rsidR="00B070D8" w:rsidRPr="00995265" w:rsidRDefault="00B070D8" w:rsidP="007070C8">
      <w:pPr>
        <w:spacing w:line="276" w:lineRule="auto"/>
        <w:ind w:firstLine="540"/>
        <w:jc w:val="both"/>
      </w:pPr>
      <w:r w:rsidRPr="00995265">
        <w:tab/>
        <w:t>Офертата за участие в процедурата се представя в запечатана, непрозрачна ОПАКОВКА от участника лично или от упълномощен от него представител на посочения от Възложителя адрес или се изпраща по пощата с препоръчано писмо с обратна разписка или чрез куриерска служба. Върху опаковката задължително се посочват:</w:t>
      </w:r>
    </w:p>
    <w:p w:rsidR="00B070D8" w:rsidRPr="00995265" w:rsidRDefault="00B070D8" w:rsidP="007070C8">
      <w:pPr>
        <w:numPr>
          <w:ilvl w:val="1"/>
          <w:numId w:val="9"/>
        </w:numPr>
        <w:spacing w:line="276" w:lineRule="auto"/>
        <w:ind w:left="851" w:firstLine="540"/>
        <w:jc w:val="both"/>
      </w:pPr>
      <w:r w:rsidRPr="00995265">
        <w:t>наименованието на участника, включително участниците в обединението, когато е приложимо;</w:t>
      </w:r>
    </w:p>
    <w:p w:rsidR="00B070D8" w:rsidRPr="00995265" w:rsidRDefault="00B070D8" w:rsidP="007070C8">
      <w:pPr>
        <w:numPr>
          <w:ilvl w:val="1"/>
          <w:numId w:val="9"/>
        </w:numPr>
        <w:spacing w:line="276" w:lineRule="auto"/>
        <w:ind w:left="851" w:firstLine="540"/>
        <w:jc w:val="both"/>
      </w:pPr>
      <w:r w:rsidRPr="00995265">
        <w:t>адрес за кореспонденция, телефон и по възможност – факс и електронен адрес;</w:t>
      </w:r>
    </w:p>
    <w:p w:rsidR="00B070D8" w:rsidRPr="00995265" w:rsidRDefault="00B070D8" w:rsidP="007070C8">
      <w:pPr>
        <w:numPr>
          <w:ilvl w:val="1"/>
          <w:numId w:val="9"/>
        </w:numPr>
        <w:spacing w:line="276" w:lineRule="auto"/>
        <w:ind w:left="851" w:firstLine="540"/>
        <w:jc w:val="both"/>
      </w:pPr>
      <w:r w:rsidRPr="00995265">
        <w:t>наименованието на поръчката;</w:t>
      </w:r>
    </w:p>
    <w:p w:rsidR="00B070D8" w:rsidRPr="00995265" w:rsidRDefault="00B070D8" w:rsidP="007070C8">
      <w:pPr>
        <w:spacing w:line="276" w:lineRule="auto"/>
        <w:ind w:firstLine="540"/>
        <w:jc w:val="both"/>
      </w:pPr>
      <w:r w:rsidRPr="00995265">
        <w:tab/>
        <w:t>Документите и данните в офертата, вкл. всички приложения към настоящата документация, се подписват само от лица с представителни функции за съответния участник или от упълномощени за това от представляващия участника лица. Във втория случай се изисква да се представи заверено пълномощно за изпълнението на такива функции.</w:t>
      </w:r>
    </w:p>
    <w:p w:rsidR="00B070D8" w:rsidRDefault="00B070D8" w:rsidP="007070C8">
      <w:pPr>
        <w:spacing w:line="276" w:lineRule="auto"/>
        <w:ind w:firstLine="540"/>
        <w:jc w:val="both"/>
        <w:rPr>
          <w:lang w:val="en-US"/>
        </w:rPr>
      </w:pPr>
      <w:r w:rsidRPr="00995265">
        <w:tab/>
        <w:t xml:space="preserve">ОПАКОВКАТА включва документите по чл. 39, ал. 2 от ППЗОП, техническо предложение, съгласно чл. 39, ал. 3, т. 1 от ППЗОП, опис на представените документи, както и отделен запечатан непрозрачен плик с надпис „Предлагани ценови параметри”, </w:t>
      </w:r>
    </w:p>
    <w:p w:rsidR="00C158BE" w:rsidRPr="00C158BE" w:rsidRDefault="00C158BE" w:rsidP="007070C8">
      <w:pPr>
        <w:spacing w:line="276" w:lineRule="auto"/>
        <w:ind w:firstLine="540"/>
        <w:jc w:val="both"/>
        <w:rPr>
          <w:lang w:val="en-US"/>
        </w:rPr>
      </w:pPr>
    </w:p>
    <w:p w:rsidR="00B070D8" w:rsidRPr="00995265" w:rsidRDefault="00B070D8" w:rsidP="007070C8">
      <w:pPr>
        <w:numPr>
          <w:ilvl w:val="0"/>
          <w:numId w:val="10"/>
        </w:numPr>
        <w:spacing w:line="276" w:lineRule="auto"/>
        <w:ind w:left="1134" w:firstLine="540"/>
        <w:jc w:val="both"/>
      </w:pPr>
      <w:r w:rsidRPr="00995265">
        <w:t>Документи по чл. 39, ал. 2 от ППЗОП включват следните документи:</w:t>
      </w:r>
    </w:p>
    <w:p w:rsidR="00B070D8" w:rsidRPr="00995265" w:rsidRDefault="00B070D8" w:rsidP="007070C8">
      <w:pPr>
        <w:spacing w:line="276" w:lineRule="auto"/>
        <w:ind w:firstLine="540"/>
        <w:jc w:val="both"/>
        <w:rPr>
          <w:color w:val="000000"/>
        </w:rPr>
      </w:pPr>
      <w:r w:rsidRPr="00995265">
        <w:tab/>
        <w:t>а) 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B070D8" w:rsidRPr="00995265" w:rsidRDefault="00B070D8" w:rsidP="007070C8">
      <w:pPr>
        <w:spacing w:line="276" w:lineRule="auto"/>
        <w:ind w:firstLine="540"/>
        <w:jc w:val="both"/>
        <w:rPr>
          <w:color w:val="000000"/>
        </w:rPr>
      </w:pPr>
      <w:r w:rsidRPr="00995265">
        <w:rPr>
          <w:color w:val="000000"/>
        </w:rPr>
        <w:tab/>
        <w:t>В изпълнение на чл. 67, ал. 4 от Закона за обществените поръчки Единният европейски документ за обществени поръчки (ЕЕДОП) се предоставя в електронен вид по образец, утвърден с акт на Европейската комисия. Участниците задължително предоставят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B070D8" w:rsidRPr="00995265" w:rsidRDefault="00B070D8" w:rsidP="007070C8">
      <w:pPr>
        <w:adjustRightInd w:val="0"/>
        <w:spacing w:line="276" w:lineRule="auto"/>
        <w:ind w:firstLine="540"/>
        <w:jc w:val="both"/>
        <w:rPr>
          <w:color w:val="000000"/>
        </w:rPr>
      </w:pPr>
      <w:r w:rsidRPr="00995265">
        <w:rPr>
          <w:b/>
          <w:iCs/>
          <w:color w:val="000000"/>
        </w:rPr>
        <w:lastRenderedPageBreak/>
        <w:tab/>
      </w:r>
      <w:r w:rsidRPr="00995265">
        <w:rPr>
          <w:b/>
          <w:i/>
          <w:iCs/>
          <w:color w:val="000000"/>
        </w:rPr>
        <w:t xml:space="preserve">Забележка: </w:t>
      </w:r>
      <w:r w:rsidRPr="00995265">
        <w:rPr>
          <w:iCs/>
          <w:color w:val="000000"/>
        </w:rPr>
        <w:t>Към документацията е представен ЕЕДОП в “.DOC” формат. 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 В случаите, когато ЕЕДОП е попълнен през системата за еЕЕДОП, при предоставянето му, с електронен подпис следва да бъде подписана версията му в “.</w:t>
      </w:r>
      <w:r w:rsidRPr="00995265">
        <w:rPr>
          <w:iCs/>
          <w:color w:val="000000"/>
          <w:lang w:val="en-US"/>
        </w:rPr>
        <w:t>PDF</w:t>
      </w:r>
      <w:r w:rsidRPr="00995265">
        <w:rPr>
          <w:iCs/>
          <w:color w:val="000000"/>
        </w:rPr>
        <w:t>” формат.</w:t>
      </w:r>
    </w:p>
    <w:p w:rsidR="00B070D8" w:rsidRPr="00995265" w:rsidRDefault="00B070D8" w:rsidP="007070C8">
      <w:pPr>
        <w:spacing w:line="276" w:lineRule="auto"/>
        <w:ind w:firstLine="540"/>
        <w:jc w:val="both"/>
      </w:pPr>
      <w:r w:rsidRPr="00995265">
        <w:tab/>
        <w:t xml:space="preserve">б) документи за доказване на предприетите мерки за надеждност, съгласно чл.56 от ЗОП, когато е приложимо; </w:t>
      </w:r>
      <w:r w:rsidRPr="00995265">
        <w:tab/>
      </w:r>
    </w:p>
    <w:p w:rsidR="00B070D8" w:rsidRPr="00995265" w:rsidRDefault="00B070D8" w:rsidP="007070C8">
      <w:pPr>
        <w:spacing w:line="276" w:lineRule="auto"/>
        <w:ind w:firstLine="540"/>
        <w:jc w:val="both"/>
      </w:pPr>
      <w:r w:rsidRPr="00995265">
        <w:tab/>
        <w:t>в) документите по чл. 37, ал. 4 от ППЗОП, когато е приложимо.</w:t>
      </w:r>
    </w:p>
    <w:p w:rsidR="00B070D8" w:rsidRPr="00995265" w:rsidRDefault="00B070D8" w:rsidP="007070C8">
      <w:pPr>
        <w:spacing w:line="276" w:lineRule="auto"/>
        <w:ind w:firstLine="540"/>
        <w:jc w:val="both"/>
      </w:pPr>
    </w:p>
    <w:p w:rsidR="00B070D8" w:rsidRPr="00995265" w:rsidRDefault="00B070D8" w:rsidP="007070C8">
      <w:pPr>
        <w:numPr>
          <w:ilvl w:val="0"/>
          <w:numId w:val="10"/>
        </w:numPr>
        <w:spacing w:line="276" w:lineRule="auto"/>
        <w:ind w:left="1134" w:firstLine="540"/>
        <w:jc w:val="both"/>
      </w:pPr>
      <w:r w:rsidRPr="00995265">
        <w:t xml:space="preserve">Техническо предложение – Приложение №2, съгласно чл. 39, ал. 3, т. 1 от ППЗОП, което следва да съдържа: </w:t>
      </w:r>
    </w:p>
    <w:p w:rsidR="00B070D8" w:rsidRPr="00995265" w:rsidRDefault="00B070D8" w:rsidP="007070C8">
      <w:pPr>
        <w:spacing w:line="276" w:lineRule="auto"/>
        <w:ind w:firstLine="540"/>
        <w:jc w:val="both"/>
        <w:rPr>
          <w:bCs/>
          <w:iCs/>
        </w:rPr>
      </w:pPr>
      <w:r w:rsidRPr="00995265">
        <w:t xml:space="preserve">а) предложение за изпълнение на поръчката, в съответствие с техническата документация и изискванията на Възложителя изготвено по </w:t>
      </w:r>
      <w:r w:rsidRPr="00995265">
        <w:rPr>
          <w:bCs/>
        </w:rPr>
        <w:t>образец</w:t>
      </w:r>
      <w:r w:rsidRPr="00995265">
        <w:t xml:space="preserve">, </w:t>
      </w:r>
      <w:r w:rsidRPr="00995265">
        <w:rPr>
          <w:bCs/>
          <w:iCs/>
        </w:rPr>
        <w:t>при съблюдаване на Техническ</w:t>
      </w:r>
      <w:r>
        <w:rPr>
          <w:bCs/>
          <w:iCs/>
        </w:rPr>
        <w:t>ите и функционални изисквания</w:t>
      </w:r>
      <w:r w:rsidRPr="00995265">
        <w:rPr>
          <w:bCs/>
          <w:iCs/>
        </w:rPr>
        <w:t>, изискванията към офертата, условията за изпълнение на поръчката и методиката за оценка на предложенията, представено в оригинал.</w:t>
      </w:r>
    </w:p>
    <w:p w:rsidR="00B070D8" w:rsidRPr="00995265" w:rsidRDefault="00B070D8" w:rsidP="007070C8">
      <w:pPr>
        <w:spacing w:line="276" w:lineRule="auto"/>
        <w:ind w:firstLine="540"/>
        <w:jc w:val="both"/>
        <w:rPr>
          <w:bCs/>
          <w:iCs/>
        </w:rPr>
      </w:pPr>
      <w:r w:rsidRPr="00995265">
        <w:rPr>
          <w:bCs/>
          <w:iCs/>
        </w:rPr>
        <w:t>б) друга информация и/или документи, изискани от възложителя:</w:t>
      </w:r>
    </w:p>
    <w:p w:rsidR="00B070D8" w:rsidRPr="00995265" w:rsidRDefault="00B070D8" w:rsidP="007070C8">
      <w:pPr>
        <w:spacing w:line="276" w:lineRule="auto"/>
        <w:ind w:firstLine="540"/>
        <w:jc w:val="both"/>
        <w:rPr>
          <w:bCs/>
          <w:iCs/>
        </w:rPr>
      </w:pPr>
      <w:r w:rsidRPr="00995265">
        <w:rPr>
          <w:bCs/>
          <w:iCs/>
        </w:rPr>
        <w:tab/>
      </w:r>
      <w:r w:rsidRPr="00995265">
        <w:rPr>
          <w:bCs/>
          <w:iCs/>
        </w:rPr>
        <w:tab/>
        <w:t>- декларация по чл. 102 от ЗОП – Приложение №4</w:t>
      </w:r>
      <w:r>
        <w:rPr>
          <w:bCs/>
          <w:iCs/>
        </w:rPr>
        <w:t>, ако е приложимо</w:t>
      </w:r>
      <w:r w:rsidRPr="00995265">
        <w:rPr>
          <w:bCs/>
          <w:iCs/>
        </w:rPr>
        <w:t xml:space="preserve">; </w:t>
      </w:r>
    </w:p>
    <w:p w:rsidR="00B070D8" w:rsidRPr="00995265" w:rsidRDefault="00B070D8" w:rsidP="007070C8">
      <w:pPr>
        <w:spacing w:line="276" w:lineRule="auto"/>
        <w:ind w:firstLine="540"/>
        <w:jc w:val="both"/>
        <w:rPr>
          <w:bCs/>
          <w:iCs/>
          <w:shd w:val="clear" w:color="auto" w:fill="FFFF00"/>
        </w:rPr>
      </w:pPr>
      <w:r w:rsidRPr="00995265">
        <w:rPr>
          <w:bCs/>
          <w:iCs/>
        </w:rPr>
        <w:tab/>
      </w:r>
      <w:r w:rsidRPr="00995265">
        <w:rPr>
          <w:bCs/>
          <w:iCs/>
        </w:rPr>
        <w:tab/>
        <w:t>- декларация за посещение на обекта – Приложение №5</w:t>
      </w:r>
      <w:r>
        <w:rPr>
          <w:bCs/>
          <w:iCs/>
        </w:rPr>
        <w:t>, ако е приложимо</w:t>
      </w:r>
      <w:r w:rsidRPr="00995265">
        <w:rPr>
          <w:bCs/>
          <w:iCs/>
        </w:rPr>
        <w:t>;</w:t>
      </w:r>
    </w:p>
    <w:p w:rsidR="00B070D8" w:rsidRPr="00995265" w:rsidRDefault="00B070D8" w:rsidP="007070C8">
      <w:pPr>
        <w:spacing w:line="276" w:lineRule="auto"/>
        <w:ind w:firstLine="540"/>
        <w:jc w:val="both"/>
      </w:pPr>
      <w:r w:rsidRPr="00995265">
        <w:rPr>
          <w:bCs/>
          <w:iCs/>
        </w:rPr>
        <w:tab/>
      </w:r>
      <w:r w:rsidRPr="00995265">
        <w:rPr>
          <w:bCs/>
          <w:iCs/>
        </w:rPr>
        <w:tab/>
      </w:r>
    </w:p>
    <w:p w:rsidR="00B070D8" w:rsidRDefault="00B070D8" w:rsidP="007070C8">
      <w:pPr>
        <w:spacing w:line="276" w:lineRule="auto"/>
        <w:ind w:firstLine="540"/>
        <w:jc w:val="both"/>
        <w:rPr>
          <w:lang w:val="en-US"/>
        </w:rPr>
      </w:pPr>
      <w:r w:rsidRPr="00995265">
        <w:rPr>
          <w:b/>
          <w:i/>
        </w:rPr>
        <w:tab/>
        <w:t>Забележка:</w:t>
      </w:r>
      <w:r w:rsidRPr="00995265">
        <w:t>Документите по т.3.2. следва да бъдат обособени в отделна папка.</w:t>
      </w:r>
    </w:p>
    <w:p w:rsidR="00C158BE" w:rsidRPr="00C158BE" w:rsidRDefault="00C158BE" w:rsidP="007070C8">
      <w:pPr>
        <w:spacing w:line="276" w:lineRule="auto"/>
        <w:ind w:firstLine="540"/>
        <w:jc w:val="both"/>
        <w:rPr>
          <w:i/>
          <w:lang w:val="en-US"/>
        </w:rPr>
      </w:pPr>
    </w:p>
    <w:p w:rsidR="00B070D8" w:rsidRPr="00C158BE" w:rsidRDefault="00B070D8" w:rsidP="007070C8">
      <w:pPr>
        <w:numPr>
          <w:ilvl w:val="0"/>
          <w:numId w:val="10"/>
        </w:numPr>
        <w:spacing w:line="276" w:lineRule="auto"/>
        <w:ind w:left="1134" w:firstLine="540"/>
        <w:jc w:val="both"/>
        <w:rPr>
          <w:bCs/>
        </w:rPr>
      </w:pPr>
      <w:r w:rsidRPr="00995265">
        <w:rPr>
          <w:bCs/>
        </w:rPr>
        <w:t>Опис на представените документи.</w:t>
      </w:r>
    </w:p>
    <w:p w:rsidR="00C158BE" w:rsidRPr="00995265" w:rsidRDefault="00C158BE" w:rsidP="00C158BE">
      <w:pPr>
        <w:spacing w:line="276" w:lineRule="auto"/>
        <w:ind w:left="1674"/>
        <w:jc w:val="both"/>
        <w:rPr>
          <w:bCs/>
        </w:rPr>
      </w:pPr>
    </w:p>
    <w:p w:rsidR="003E52CC" w:rsidRDefault="00B070D8" w:rsidP="002217A2">
      <w:pPr>
        <w:numPr>
          <w:ilvl w:val="0"/>
          <w:numId w:val="10"/>
        </w:numPr>
        <w:spacing w:line="276" w:lineRule="auto"/>
        <w:ind w:left="1134" w:firstLine="540"/>
        <w:jc w:val="both"/>
        <w:rPr>
          <w:b/>
          <w:bCs/>
          <w:lang w:val="en-US"/>
        </w:rPr>
      </w:pPr>
      <w:r w:rsidRPr="00995265">
        <w:rPr>
          <w:bCs/>
        </w:rPr>
        <w:t>Ценово предложение по чл. 39, ал. 3, т. 2 от ППЗОП – Приложение №3, което следва да съдържа предложението на участника относно цената без ДДС.</w:t>
      </w:r>
      <w:r w:rsidRPr="00995265">
        <w:t xml:space="preserve"> Цените следва да бъдат посочени в лева, закръглени до втория знак след десетичната запетая. При несъответствие между цената, изписана с цифри и тази, изписана с думи, ще се взема предвид изписаната с думи. Оферирана от участниците цена следва да е крайна и да включва всички разходи на участника за изпълнение на поръчката. </w:t>
      </w:r>
      <w:r w:rsidRPr="00995265">
        <w:rPr>
          <w:b/>
          <w:bCs/>
        </w:rPr>
        <w:t>В цената следва да се предвидят всички разходи на участника за изпълнение на поръчката:доставка, монтаж</w:t>
      </w:r>
      <w:r>
        <w:rPr>
          <w:b/>
          <w:bCs/>
        </w:rPr>
        <w:t xml:space="preserve">, </w:t>
      </w:r>
      <w:r w:rsidRPr="004D7766">
        <w:rPr>
          <w:b/>
          <w:bCs/>
        </w:rPr>
        <w:t>пускане в експлоатация и гаранционен сервиз на апаратурата, мита, такси, обучение за работа с оборудването, ако такова се предвижда /включително ако обучението се провежда в чужбина/ (ако е приложимо)</w:t>
      </w:r>
      <w:r w:rsidRPr="00126CD1">
        <w:rPr>
          <w:b/>
          <w:bCs/>
        </w:rPr>
        <w:t>и др.</w:t>
      </w:r>
    </w:p>
    <w:p w:rsidR="00B070D8" w:rsidRPr="00995265" w:rsidRDefault="00B070D8" w:rsidP="007070C8">
      <w:pPr>
        <w:spacing w:line="276" w:lineRule="auto"/>
        <w:ind w:firstLine="540"/>
        <w:jc w:val="both"/>
      </w:pPr>
      <w:r w:rsidRPr="00995265">
        <w:t>Участник, който по какъвто и да е начин е посочил ценови параметри или елементи от тях н</w:t>
      </w:r>
      <w:r>
        <w:t>я</w:t>
      </w:r>
      <w:r w:rsidRPr="00995265">
        <w:t>къде в офертата си, извън плика с надпис „Предлагани ценови параметри” ще бъде отстранен от участие в процедурата.</w:t>
      </w:r>
    </w:p>
    <w:p w:rsidR="00B070D8" w:rsidRPr="00995265" w:rsidRDefault="00B070D8" w:rsidP="007070C8">
      <w:pPr>
        <w:spacing w:line="276" w:lineRule="auto"/>
        <w:ind w:firstLine="540"/>
        <w:jc w:val="both"/>
      </w:pPr>
      <w:r w:rsidRPr="00995265">
        <w:tab/>
      </w:r>
      <w:r w:rsidRPr="00995265">
        <w:rPr>
          <w:b/>
          <w:i/>
        </w:rPr>
        <w:t>Забележка:</w:t>
      </w:r>
      <w:r w:rsidRPr="00995265">
        <w:t>Участникът поставя ценовото предложение в отделен запечатан непрозрачен плик с надпис „Предлагани ценови параметри”, който съдържа ценовото предложение по чл. 39, ал. 3, т. 2 от ППЗОП.</w:t>
      </w:r>
    </w:p>
    <w:p w:rsidR="00B070D8" w:rsidRPr="00995265" w:rsidRDefault="00B070D8" w:rsidP="007070C8">
      <w:pPr>
        <w:spacing w:line="276" w:lineRule="auto"/>
        <w:ind w:firstLine="540"/>
        <w:jc w:val="both"/>
        <w:rPr>
          <w:i/>
        </w:rPr>
      </w:pPr>
    </w:p>
    <w:p w:rsidR="00C85FEB" w:rsidRDefault="00B070D8" w:rsidP="00C85FEB">
      <w:pPr>
        <w:autoSpaceDE w:val="0"/>
        <w:autoSpaceDN w:val="0"/>
        <w:adjustRightInd w:val="0"/>
        <w:spacing w:line="276" w:lineRule="auto"/>
        <w:jc w:val="both"/>
        <w:rPr>
          <w:b/>
          <w:bCs/>
          <w:i/>
          <w:lang w:eastAsia="zh-CN"/>
        </w:rPr>
      </w:pPr>
      <w:r w:rsidRPr="00995265">
        <w:rPr>
          <w:b/>
          <w:i/>
          <w:u w:val="single"/>
        </w:rPr>
        <w:t xml:space="preserve">*Забележка: </w:t>
      </w:r>
      <w:r w:rsidRPr="00995265">
        <w:rPr>
          <w:b/>
          <w:bCs/>
          <w:i/>
          <w:lang w:eastAsia="zh-CN"/>
        </w:rPr>
        <w:t xml:space="preserve">При подготовка на своите оферти и попълване на ЕЕДОП участниците следва да се придържат към изискванията, поставени в ЗОП, Документацията за участие, обявлението за обществената поръчка, а при необходимост могат да следват </w:t>
      </w:r>
      <w:r w:rsidRPr="00995265">
        <w:rPr>
          <w:b/>
          <w:bCs/>
          <w:i/>
          <w:lang w:eastAsia="zh-CN"/>
        </w:rPr>
        <w:lastRenderedPageBreak/>
        <w:t xml:space="preserve">инструкциите за попълване на стандартния образец, приети от Европейската комисия и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достъпни на електронен адрес: </w:t>
      </w:r>
    </w:p>
    <w:p w:rsidR="00B070D8" w:rsidRPr="00995265" w:rsidRDefault="00DD503A" w:rsidP="00C85FEB">
      <w:pPr>
        <w:autoSpaceDE w:val="0"/>
        <w:autoSpaceDN w:val="0"/>
        <w:adjustRightInd w:val="0"/>
        <w:spacing w:line="276" w:lineRule="auto"/>
        <w:jc w:val="both"/>
        <w:rPr>
          <w:b/>
          <w:bCs/>
          <w:i/>
          <w:u w:val="single"/>
          <w:lang w:eastAsia="zh-CN"/>
        </w:rPr>
      </w:pPr>
      <w:hyperlink r:id="rId15" w:history="1">
        <w:r w:rsidR="00B070D8" w:rsidRPr="00995265">
          <w:rPr>
            <w:b/>
            <w:bCs/>
            <w:i/>
            <w:u w:val="single"/>
            <w:lang w:eastAsia="zh-CN"/>
          </w:rPr>
          <w:t>http://eur-lex.europa.eu/legal-content/BG/TXT/?uri=CELEX%3A32016R0007</w:t>
        </w:r>
      </w:hyperlink>
    </w:p>
    <w:p w:rsidR="00B070D8" w:rsidRPr="00995265" w:rsidRDefault="00B070D8" w:rsidP="007070C8">
      <w:pPr>
        <w:tabs>
          <w:tab w:val="left" w:pos="0"/>
          <w:tab w:val="left" w:pos="567"/>
        </w:tabs>
        <w:spacing w:line="276" w:lineRule="auto"/>
        <w:ind w:firstLine="540"/>
        <w:jc w:val="both"/>
      </w:pPr>
    </w:p>
    <w:p w:rsidR="00B070D8" w:rsidRPr="00995265" w:rsidRDefault="00B070D8" w:rsidP="007070C8">
      <w:pPr>
        <w:spacing w:line="276" w:lineRule="auto"/>
        <w:ind w:firstLine="540"/>
        <w:jc w:val="both"/>
      </w:pPr>
      <w:r w:rsidRPr="00995265">
        <w:tab/>
        <w:t>Документите за участие следва да бъдат представени на адрес: гр. София 1113, ул. "Акад. Георги Бончев", бл. 10</w:t>
      </w:r>
      <w:r w:rsidR="0018687C">
        <w:t>9</w:t>
      </w:r>
      <w:r w:rsidRPr="00995265">
        <w:t xml:space="preserve">, Институт по </w:t>
      </w:r>
      <w:r w:rsidR="0018687C">
        <w:t>оптически материали и технологии</w:t>
      </w:r>
      <w:r w:rsidRPr="00995265">
        <w:t xml:space="preserve"> "Акад. </w:t>
      </w:r>
      <w:r w:rsidR="0018687C">
        <w:t>Йордан Малиновски"</w:t>
      </w:r>
      <w:r w:rsidRPr="00995265">
        <w:t xml:space="preserve">, стая </w:t>
      </w:r>
      <w:r w:rsidR="00C94A7A" w:rsidRPr="00C94A7A">
        <w:t>119</w:t>
      </w:r>
      <w:r w:rsidRPr="00C94A7A">
        <w:t>,</w:t>
      </w:r>
      <w:r w:rsidR="00C158BE">
        <w:rPr>
          <w:lang w:val="en-US"/>
        </w:rPr>
        <w:t xml:space="preserve"> </w:t>
      </w:r>
      <w:r w:rsidR="00C94A7A">
        <w:t>Деловодство,</w:t>
      </w:r>
      <w:r w:rsidRPr="00995265">
        <w:t xml:space="preserve"> преди датата и часа, посочени в обявлението като краен срок за подаване на офертите. Не се приемат оферти, които са представени след изтичане на крайния срок за получаване или в незапечатана или скъсана опаковка.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сметка на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rsidR="00B070D8" w:rsidRPr="00995265" w:rsidRDefault="00B070D8" w:rsidP="007070C8">
      <w:pPr>
        <w:tabs>
          <w:tab w:val="left" w:pos="0"/>
        </w:tabs>
        <w:suppressAutoHyphens/>
        <w:spacing w:line="276" w:lineRule="auto"/>
        <w:ind w:firstLine="540"/>
        <w:jc w:val="both"/>
      </w:pPr>
      <w:r w:rsidRPr="00995265">
        <w:tab/>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B070D8" w:rsidRPr="00995265" w:rsidRDefault="00B070D8" w:rsidP="007070C8">
      <w:pPr>
        <w:tabs>
          <w:tab w:val="left" w:pos="0"/>
        </w:tabs>
        <w:suppressAutoHyphens/>
        <w:spacing w:line="276" w:lineRule="auto"/>
        <w:ind w:firstLine="540"/>
        <w:jc w:val="both"/>
        <w:rPr>
          <w:b/>
          <w:bCs/>
        </w:rPr>
      </w:pPr>
    </w:p>
    <w:p w:rsidR="00B070D8" w:rsidRPr="00995265" w:rsidRDefault="00B070D8" w:rsidP="007070C8">
      <w:pPr>
        <w:pStyle w:val="Heading1"/>
        <w:spacing w:line="276" w:lineRule="auto"/>
        <w:ind w:firstLine="540"/>
        <w:jc w:val="both"/>
      </w:pPr>
      <w:bookmarkStart w:id="69" w:name="_Toc450982669"/>
      <w:bookmarkStart w:id="70" w:name="_Toc462658447"/>
      <w:bookmarkStart w:id="71" w:name="_Toc465700374"/>
      <w:bookmarkStart w:id="72" w:name="_Toc470107498"/>
      <w:bookmarkStart w:id="73" w:name="_Toc470683312"/>
      <w:bookmarkStart w:id="74" w:name="_Toc489886128"/>
      <w:bookmarkStart w:id="75" w:name="_Toc505171842"/>
      <w:r w:rsidRPr="00995265">
        <w:rPr>
          <w:bCs w:val="0"/>
        </w:rPr>
        <w:tab/>
      </w:r>
      <w:bookmarkStart w:id="76" w:name="_Toc3990224"/>
      <w:proofErr w:type="gramStart"/>
      <w:r w:rsidRPr="00995265">
        <w:rPr>
          <w:bCs w:val="0"/>
        </w:rPr>
        <w:t>РАЗДЕЛ VII.</w:t>
      </w:r>
      <w:proofErr w:type="gramEnd"/>
      <w:r w:rsidRPr="00995265">
        <w:rPr>
          <w:bCs w:val="0"/>
        </w:rPr>
        <w:t xml:space="preserve"> </w:t>
      </w:r>
      <w:r w:rsidRPr="00995265">
        <w:t>ГАРАНЦИИ ЗА ИЗПЪЛНЕНИЕ НА ДОГОВОРА И</w:t>
      </w:r>
      <w:bookmarkStart w:id="77" w:name="_Toc450982670"/>
      <w:bookmarkStart w:id="78" w:name="_Toc462658448"/>
      <w:bookmarkStart w:id="79" w:name="_Toc465700375"/>
      <w:bookmarkStart w:id="80" w:name="_Toc470107499"/>
      <w:bookmarkStart w:id="81" w:name="_Toc470683313"/>
      <w:bookmarkStart w:id="82" w:name="_Toc489886129"/>
      <w:bookmarkStart w:id="83" w:name="_Toc505171843"/>
      <w:bookmarkEnd w:id="69"/>
      <w:bookmarkEnd w:id="70"/>
      <w:bookmarkEnd w:id="71"/>
      <w:bookmarkEnd w:id="72"/>
      <w:bookmarkEnd w:id="73"/>
      <w:bookmarkEnd w:id="74"/>
      <w:bookmarkEnd w:id="75"/>
      <w:r w:rsidRPr="00995265">
        <w:t xml:space="preserve"> ОБЕЗПЕЧЕНИЯ</w:t>
      </w:r>
      <w:bookmarkEnd w:id="76"/>
      <w:bookmarkEnd w:id="77"/>
      <w:bookmarkEnd w:id="78"/>
      <w:bookmarkEnd w:id="79"/>
      <w:bookmarkEnd w:id="80"/>
      <w:bookmarkEnd w:id="81"/>
      <w:bookmarkEnd w:id="82"/>
      <w:bookmarkEnd w:id="83"/>
    </w:p>
    <w:p w:rsidR="00B070D8" w:rsidRPr="00995265" w:rsidRDefault="00B070D8" w:rsidP="007070C8">
      <w:pPr>
        <w:keepNext/>
        <w:keepLines/>
        <w:spacing w:line="276" w:lineRule="auto"/>
        <w:ind w:firstLine="540"/>
        <w:jc w:val="both"/>
        <w:outlineLvl w:val="0"/>
        <w:rPr>
          <w:b/>
          <w:caps/>
        </w:rPr>
      </w:pPr>
    </w:p>
    <w:p w:rsidR="00B070D8" w:rsidRPr="00995265" w:rsidRDefault="00B070D8" w:rsidP="007070C8">
      <w:pPr>
        <w:spacing w:line="276" w:lineRule="auto"/>
        <w:ind w:firstLine="540"/>
        <w:jc w:val="both"/>
        <w:rPr>
          <w:b/>
          <w:bCs/>
          <w:caps/>
        </w:rPr>
      </w:pPr>
      <w:r w:rsidRPr="00995265">
        <w:rPr>
          <w:b/>
          <w:bCs/>
        </w:rPr>
        <w:t>Гаранция за изпълнение на договора – условия, размер и начин на плащане</w:t>
      </w:r>
    </w:p>
    <w:p w:rsidR="00B070D8" w:rsidRPr="00995265" w:rsidRDefault="00B070D8" w:rsidP="007070C8">
      <w:pPr>
        <w:spacing w:line="276" w:lineRule="auto"/>
        <w:ind w:firstLine="540"/>
        <w:jc w:val="both"/>
      </w:pPr>
      <w:r w:rsidRPr="00995265">
        <w:rPr>
          <w:bCs/>
        </w:rPr>
        <w:tab/>
        <w:t>Определеният за изпълнител участник, преди сключване на договора представя</w:t>
      </w:r>
      <w:r w:rsidRPr="00995265">
        <w:t>гаранция за изпълнение на договора в размер на 5% (пет процента) от стойността на договора за обществена поръчка без включен ДДС.</w:t>
      </w:r>
    </w:p>
    <w:p w:rsidR="00B070D8" w:rsidRPr="00995265" w:rsidRDefault="00B070D8" w:rsidP="007070C8">
      <w:pPr>
        <w:spacing w:line="276" w:lineRule="auto"/>
        <w:ind w:firstLine="540"/>
        <w:jc w:val="both"/>
      </w:pPr>
      <w:r w:rsidRPr="00995265">
        <w:rPr>
          <w:b/>
        </w:rPr>
        <w:tab/>
      </w:r>
      <w:r w:rsidRPr="00995265">
        <w:t>Условията и сроковете за задържане или освобождаване на гаранцията за изпълнение са уредени в проекта на Договор за изпълнение на обществената поръчка.</w:t>
      </w:r>
    </w:p>
    <w:p w:rsidR="00B070D8" w:rsidRPr="00995265" w:rsidRDefault="00B070D8" w:rsidP="007070C8">
      <w:pPr>
        <w:spacing w:line="276" w:lineRule="auto"/>
        <w:ind w:firstLine="540"/>
        <w:jc w:val="both"/>
      </w:pPr>
      <w:r w:rsidRPr="00995265">
        <w:tab/>
        <w:t xml:space="preserve">Гаранцията се предоставя в една от следните форми: парична сума, банкова гаранция или застраховка, която обезпечава изпълнението чрез покритие на отговорността на изпълнителя. Гаранция, представена под формата на парична сума или банкова гаранция може да се предостави от името на изпълнителя за сметка на трето лице - гарант. Участникът, определен за изпълнител, избира сам формата на гаранцията за изпълнение. Когато избраният изпълнител е обединение, което не е юридическо лице, всеки от съдружниците в него може да е </w:t>
      </w:r>
      <w:r w:rsidRPr="00995265">
        <w:lastRenderedPageBreak/>
        <w:t>наредител по банковата гаранция, съответно вносител на сумата по гаранцията или титуляр на застраховката.</w:t>
      </w:r>
    </w:p>
    <w:p w:rsidR="00B070D8" w:rsidRDefault="00B070D8" w:rsidP="007070C8">
      <w:pPr>
        <w:spacing w:line="276" w:lineRule="auto"/>
        <w:ind w:firstLine="540"/>
        <w:jc w:val="both"/>
      </w:pPr>
      <w:r w:rsidRPr="00995265">
        <w:rPr>
          <w:b/>
          <w:bCs/>
        </w:rPr>
        <w:tab/>
      </w:r>
      <w:r w:rsidRPr="00995265">
        <w:t>При представяне на гаранцията във вид на депозит на  парична сума, същата се внася по сметката на Възложителя:</w:t>
      </w:r>
    </w:p>
    <w:p w:rsidR="00226F74" w:rsidRDefault="00226F74" w:rsidP="007070C8">
      <w:pPr>
        <w:spacing w:line="276" w:lineRule="auto"/>
        <w:ind w:firstLine="540"/>
        <w:jc w:val="both"/>
      </w:pPr>
    </w:p>
    <w:p w:rsidR="00B070D8" w:rsidRPr="00226F74" w:rsidRDefault="00B070D8" w:rsidP="007070C8">
      <w:pPr>
        <w:tabs>
          <w:tab w:val="left" w:pos="540"/>
          <w:tab w:val="left" w:pos="720"/>
        </w:tabs>
        <w:spacing w:line="276" w:lineRule="auto"/>
        <w:ind w:firstLine="540"/>
        <w:jc w:val="both"/>
        <w:rPr>
          <w:b/>
        </w:rPr>
      </w:pPr>
      <w:r w:rsidRPr="00226F74">
        <w:rPr>
          <w:b/>
        </w:rPr>
        <w:t xml:space="preserve">Банка: </w:t>
      </w:r>
      <w:r w:rsidR="00226F74" w:rsidRPr="00226F74">
        <w:rPr>
          <w:b/>
        </w:rPr>
        <w:t>Райфайзен банк</w:t>
      </w:r>
    </w:p>
    <w:p w:rsidR="00B070D8" w:rsidRPr="00226F74" w:rsidRDefault="00B070D8" w:rsidP="007070C8">
      <w:pPr>
        <w:tabs>
          <w:tab w:val="left" w:pos="540"/>
          <w:tab w:val="left" w:pos="720"/>
        </w:tabs>
        <w:spacing w:line="276" w:lineRule="auto"/>
        <w:ind w:firstLine="540"/>
        <w:jc w:val="both"/>
        <w:rPr>
          <w:b/>
        </w:rPr>
      </w:pPr>
      <w:r w:rsidRPr="00226F74">
        <w:rPr>
          <w:b/>
        </w:rPr>
        <w:t>BIC:</w:t>
      </w:r>
      <w:r w:rsidR="00226F74" w:rsidRPr="00226F74">
        <w:rPr>
          <w:b/>
          <w:lang w:val="en-US"/>
        </w:rPr>
        <w:t xml:space="preserve"> RZBBBGSF</w:t>
      </w:r>
    </w:p>
    <w:p w:rsidR="00B070D8" w:rsidRPr="0018687C" w:rsidRDefault="00B070D8" w:rsidP="007070C8">
      <w:pPr>
        <w:tabs>
          <w:tab w:val="left" w:pos="540"/>
          <w:tab w:val="left" w:pos="720"/>
        </w:tabs>
        <w:spacing w:line="276" w:lineRule="auto"/>
        <w:ind w:firstLine="540"/>
        <w:jc w:val="both"/>
        <w:rPr>
          <w:b/>
        </w:rPr>
      </w:pPr>
      <w:r w:rsidRPr="00226F74">
        <w:rPr>
          <w:b/>
        </w:rPr>
        <w:t>IBAN:</w:t>
      </w:r>
      <w:r w:rsidR="00226F74" w:rsidRPr="00226F74">
        <w:rPr>
          <w:b/>
          <w:lang w:val="en-US"/>
        </w:rPr>
        <w:t xml:space="preserve"> BG58RZBB91553120036814</w:t>
      </w:r>
    </w:p>
    <w:p w:rsidR="00B070D8" w:rsidRPr="00995265" w:rsidRDefault="00B070D8" w:rsidP="007070C8">
      <w:pPr>
        <w:tabs>
          <w:tab w:val="left" w:pos="540"/>
          <w:tab w:val="left" w:pos="720"/>
        </w:tabs>
        <w:spacing w:line="276" w:lineRule="auto"/>
        <w:ind w:firstLine="540"/>
        <w:jc w:val="both"/>
      </w:pPr>
    </w:p>
    <w:p w:rsidR="00B070D8" w:rsidRPr="00995265" w:rsidRDefault="00B070D8" w:rsidP="007070C8">
      <w:pPr>
        <w:tabs>
          <w:tab w:val="left" w:pos="540"/>
          <w:tab w:val="left" w:pos="720"/>
        </w:tabs>
        <w:spacing w:line="276" w:lineRule="auto"/>
        <w:ind w:firstLine="540"/>
        <w:jc w:val="both"/>
      </w:pPr>
      <w:r w:rsidRPr="00995265">
        <w:t>В нареждането за плащане следва да се посочи вида на гаранцията както следва:</w:t>
      </w:r>
    </w:p>
    <w:p w:rsidR="0018687C" w:rsidRDefault="00B070D8" w:rsidP="0018687C">
      <w:pPr>
        <w:spacing w:line="276" w:lineRule="auto"/>
        <w:ind w:firstLine="540"/>
        <w:jc w:val="both"/>
        <w:rPr>
          <w:b/>
          <w:noProof/>
        </w:rPr>
      </w:pPr>
      <w:r w:rsidRPr="00995265">
        <w:rPr>
          <w:iCs/>
        </w:rPr>
        <w:t xml:space="preserve">гаранция за изпълнение по договор за обществена поръчка с предмет: </w:t>
      </w:r>
      <w:r w:rsidR="0018687C" w:rsidRPr="00995265">
        <w:rPr>
          <w:b/>
          <w:sz w:val="22"/>
        </w:rPr>
        <w:t xml:space="preserve">„ДОСТАВКА, МОНТАЖ И ВЪВЕЖДАНЕ В ЕКСПЛОАТАЦИЯ НА </w:t>
      </w:r>
      <w:r w:rsidR="0018687C">
        <w:rPr>
          <w:b/>
          <w:sz w:val="22"/>
        </w:rPr>
        <w:t xml:space="preserve">ЛАБОРАТОРНО ОБОРУДВАНЕ В ОБОСОБЕНИ ПОЗИЦИИ, КАКТО СЛЕДВА: </w:t>
      </w:r>
      <w:r w:rsidR="0018687C" w:rsidRPr="003E52CC">
        <w:rPr>
          <w:b/>
        </w:rPr>
        <w:t>ОБОСОБЕНА ПОЗИЦИЯ 1: СИСТЕМА ЗА ИЗРАСТВАНЕ НА КРИСТАЛИ ПО МЕТОДА НА БРИДЖМЕН</w:t>
      </w:r>
      <w:r w:rsidR="0018687C">
        <w:rPr>
          <w:b/>
          <w:noProof/>
        </w:rPr>
        <w:t>“.</w:t>
      </w:r>
    </w:p>
    <w:p w:rsidR="00B070D8" w:rsidRPr="00995265" w:rsidRDefault="00B070D8" w:rsidP="0018687C">
      <w:pPr>
        <w:spacing w:line="276" w:lineRule="auto"/>
        <w:ind w:firstLine="540"/>
        <w:jc w:val="both"/>
        <w:rPr>
          <w:bCs/>
        </w:rPr>
      </w:pPr>
      <w:r w:rsidRPr="00995265">
        <w:rPr>
          <w:bCs/>
        </w:rPr>
        <w:t xml:space="preserve">Когато участникът избере гаранцията за изпълнение да бъде банкова гаранция, тогава тя трябва да бъде безусловна, неотменима,в полза на Възложителя, с възможност да бъде усвоена изцяло или на части и със срок на валидност най-малко 30 (тридесет) календарни дни след изтичане на гаранционните срокове на договора, съобразно изискванията в проекта на Договор за възлагане на обществената поръчка. Гаранцията трябва да съдържа задължение на банката-гарант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определеното в него. </w:t>
      </w:r>
    </w:p>
    <w:p w:rsidR="00B070D8" w:rsidRPr="00995265" w:rsidRDefault="00B070D8" w:rsidP="007070C8">
      <w:pPr>
        <w:spacing w:line="276" w:lineRule="auto"/>
        <w:ind w:firstLine="540"/>
        <w:jc w:val="both"/>
        <w:rPr>
          <w:bCs/>
        </w:rPr>
      </w:pPr>
      <w:r w:rsidRPr="00995265">
        <w:rPr>
          <w:bCs/>
        </w:rPr>
        <w:tab/>
        <w:t>Банковите разходи по откриването на банковата гаранция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B070D8" w:rsidRPr="00995265" w:rsidRDefault="00B070D8" w:rsidP="007070C8">
      <w:pPr>
        <w:spacing w:line="276" w:lineRule="auto"/>
        <w:ind w:firstLine="540"/>
        <w:jc w:val="both"/>
        <w:rPr>
          <w:bCs/>
        </w:rPr>
      </w:pPr>
      <w:r w:rsidRPr="00995265">
        <w:rPr>
          <w:bCs/>
        </w:rPr>
        <w:tab/>
        <w:t>Когато участникът, определен за изпълнител, избере да представи гаранция за изпълнение под формата на застраховка, която обезпечава изпълнението чрез покритие на отговорността на изпълнителя по договора, то застраховката следва да отговаря на следните изисквания:</w:t>
      </w:r>
    </w:p>
    <w:p w:rsidR="00B070D8" w:rsidRPr="00995265" w:rsidRDefault="00B070D8" w:rsidP="007070C8">
      <w:pPr>
        <w:numPr>
          <w:ilvl w:val="0"/>
          <w:numId w:val="16"/>
        </w:numPr>
        <w:spacing w:line="276" w:lineRule="auto"/>
        <w:ind w:firstLine="540"/>
        <w:jc w:val="both"/>
        <w:rPr>
          <w:bCs/>
        </w:rPr>
      </w:pPr>
      <w:r w:rsidRPr="00995265">
        <w:rPr>
          <w:bCs/>
        </w:rPr>
        <w:t xml:space="preserve">застраховката трябва да бъде сключена за конкретния договор и в полза на </w:t>
      </w:r>
      <w:r w:rsidR="0018687C" w:rsidRPr="00995265">
        <w:t xml:space="preserve">Институт по </w:t>
      </w:r>
      <w:r w:rsidR="0018687C">
        <w:t>оптически материали и технологии</w:t>
      </w:r>
      <w:r w:rsidR="0018687C" w:rsidRPr="00995265">
        <w:t xml:space="preserve"> "Акад. </w:t>
      </w:r>
      <w:r w:rsidR="0018687C">
        <w:t>Йордан Малиновски"</w:t>
      </w:r>
      <w:r w:rsidRPr="00995265">
        <w:rPr>
          <w:bCs/>
        </w:rPr>
        <w:t>;</w:t>
      </w:r>
    </w:p>
    <w:p w:rsidR="00B070D8" w:rsidRPr="00995265" w:rsidRDefault="00B070D8" w:rsidP="007070C8">
      <w:pPr>
        <w:numPr>
          <w:ilvl w:val="0"/>
          <w:numId w:val="16"/>
        </w:numPr>
        <w:spacing w:line="276" w:lineRule="auto"/>
        <w:ind w:firstLine="540"/>
        <w:jc w:val="both"/>
        <w:rPr>
          <w:bCs/>
        </w:rPr>
      </w:pPr>
      <w:r w:rsidRPr="00995265">
        <w:rPr>
          <w:bCs/>
        </w:rPr>
        <w:t>застрахователната премия трябва да е платима еднократно;</w:t>
      </w:r>
    </w:p>
    <w:p w:rsidR="00B070D8" w:rsidRPr="00995265" w:rsidRDefault="00B070D8" w:rsidP="007070C8">
      <w:pPr>
        <w:numPr>
          <w:ilvl w:val="0"/>
          <w:numId w:val="16"/>
        </w:numPr>
        <w:spacing w:line="276" w:lineRule="auto"/>
        <w:ind w:firstLine="540"/>
        <w:jc w:val="both"/>
        <w:rPr>
          <w:bCs/>
        </w:rPr>
      </w:pPr>
      <w:r w:rsidRPr="00995265">
        <w:rPr>
          <w:bCs/>
        </w:rPr>
        <w:t xml:space="preserve">със срок на валидност най-малко 30 дни след </w:t>
      </w:r>
      <w:r w:rsidRPr="0032296D">
        <w:rPr>
          <w:bCs/>
        </w:rPr>
        <w:t>изтичане на гаранционните срокове по договора</w:t>
      </w:r>
      <w:r w:rsidRPr="00995265">
        <w:rPr>
          <w:bCs/>
        </w:rPr>
        <w:t xml:space="preserve">, съобразно изискванията в проекта на Договор за възлагане на обществената поръчка. </w:t>
      </w:r>
    </w:p>
    <w:p w:rsidR="00B070D8" w:rsidRPr="00995265" w:rsidRDefault="00B070D8" w:rsidP="007070C8">
      <w:pPr>
        <w:spacing w:line="276" w:lineRule="auto"/>
        <w:ind w:firstLine="540"/>
        <w:jc w:val="both"/>
      </w:pPr>
      <w:r w:rsidRPr="00995265">
        <w:tab/>
        <w:t>Възложителят ще освободи гаранцията за изпълнение, без да дължи лихви за периода, през който средствата законно са престояли при него.</w:t>
      </w:r>
    </w:p>
    <w:p w:rsidR="00B070D8" w:rsidRDefault="00B070D8" w:rsidP="007070C8">
      <w:pPr>
        <w:tabs>
          <w:tab w:val="left" w:pos="540"/>
          <w:tab w:val="left" w:pos="720"/>
        </w:tabs>
        <w:spacing w:line="276" w:lineRule="auto"/>
        <w:ind w:firstLine="540"/>
        <w:jc w:val="both"/>
        <w:rPr>
          <w:lang w:val="en-US"/>
        </w:rPr>
      </w:pPr>
    </w:p>
    <w:p w:rsidR="00C158BE" w:rsidRDefault="00C158BE" w:rsidP="007070C8">
      <w:pPr>
        <w:tabs>
          <w:tab w:val="left" w:pos="540"/>
          <w:tab w:val="left" w:pos="720"/>
        </w:tabs>
        <w:spacing w:line="276" w:lineRule="auto"/>
        <w:ind w:firstLine="540"/>
        <w:jc w:val="both"/>
        <w:rPr>
          <w:lang w:val="en-US"/>
        </w:rPr>
      </w:pPr>
    </w:p>
    <w:p w:rsidR="00C158BE" w:rsidRPr="00C158BE" w:rsidRDefault="00C158BE" w:rsidP="007070C8">
      <w:pPr>
        <w:tabs>
          <w:tab w:val="left" w:pos="540"/>
          <w:tab w:val="left" w:pos="720"/>
        </w:tabs>
        <w:spacing w:line="276" w:lineRule="auto"/>
        <w:ind w:firstLine="540"/>
        <w:jc w:val="both"/>
        <w:rPr>
          <w:lang w:val="en-US"/>
        </w:rPr>
      </w:pPr>
    </w:p>
    <w:p w:rsidR="00B070D8" w:rsidRPr="00995265" w:rsidRDefault="00B070D8" w:rsidP="007070C8">
      <w:pPr>
        <w:pStyle w:val="Heading1"/>
        <w:spacing w:line="276" w:lineRule="auto"/>
        <w:ind w:firstLine="540"/>
        <w:jc w:val="both"/>
      </w:pPr>
      <w:r w:rsidRPr="00995265">
        <w:lastRenderedPageBreak/>
        <w:tab/>
      </w:r>
      <w:bookmarkStart w:id="84" w:name="_Toc3990225"/>
      <w:proofErr w:type="gramStart"/>
      <w:r w:rsidRPr="00995265">
        <w:t>РАЗДЕЛ VIII.</w:t>
      </w:r>
      <w:proofErr w:type="gramEnd"/>
      <w:r w:rsidRPr="00995265">
        <w:t xml:space="preserve"> РАЗГЛЕЖДАНЕ, ОЦЕНЯВАНЕ И КЛАСИРАНЕ НА ОФЕРТИТЕ</w:t>
      </w:r>
      <w:bookmarkEnd w:id="84"/>
    </w:p>
    <w:p w:rsidR="00B070D8" w:rsidRPr="00995265" w:rsidRDefault="00B070D8" w:rsidP="007070C8">
      <w:pPr>
        <w:spacing w:line="276" w:lineRule="auto"/>
        <w:ind w:firstLine="540"/>
        <w:jc w:val="both"/>
        <w:rPr>
          <w:color w:val="000000"/>
        </w:rPr>
      </w:pPr>
    </w:p>
    <w:p w:rsidR="00B070D8" w:rsidRPr="00C85FEB" w:rsidRDefault="00B070D8" w:rsidP="007070C8">
      <w:pPr>
        <w:pStyle w:val="ListParagraph"/>
        <w:numPr>
          <w:ilvl w:val="0"/>
          <w:numId w:val="26"/>
        </w:numPr>
        <w:spacing w:after="0"/>
        <w:ind w:firstLine="540"/>
        <w:jc w:val="both"/>
        <w:outlineLvl w:val="1"/>
        <w:rPr>
          <w:rFonts w:ascii="Times New Roman" w:hAnsi="Times New Roman"/>
          <w:b/>
          <w:sz w:val="24"/>
          <w:szCs w:val="24"/>
        </w:rPr>
      </w:pPr>
      <w:bookmarkStart w:id="85" w:name="_Toc3989871"/>
      <w:bookmarkStart w:id="86" w:name="_Toc3990226"/>
      <w:r w:rsidRPr="00C85FEB">
        <w:rPr>
          <w:rFonts w:ascii="Times New Roman" w:hAnsi="Times New Roman"/>
          <w:sz w:val="24"/>
          <w:szCs w:val="24"/>
        </w:rPr>
        <w:t>Комисията, назначена</w:t>
      </w:r>
      <w:r w:rsidR="00904EDA">
        <w:rPr>
          <w:rFonts w:ascii="Times New Roman" w:hAnsi="Times New Roman"/>
          <w:sz w:val="24"/>
          <w:szCs w:val="24"/>
          <w:lang w:val="bg-BG"/>
        </w:rPr>
        <w:t xml:space="preserve"> </w:t>
      </w:r>
      <w:r w:rsidRPr="00C85FEB">
        <w:rPr>
          <w:rFonts w:ascii="Times New Roman" w:hAnsi="Times New Roman"/>
          <w:sz w:val="24"/>
          <w:szCs w:val="24"/>
        </w:rPr>
        <w:t>от</w:t>
      </w:r>
      <w:r w:rsidR="00904EDA">
        <w:rPr>
          <w:rFonts w:ascii="Times New Roman" w:hAnsi="Times New Roman"/>
          <w:sz w:val="24"/>
          <w:szCs w:val="24"/>
          <w:lang w:val="bg-BG"/>
        </w:rPr>
        <w:t xml:space="preserve"> </w:t>
      </w:r>
      <w:r w:rsidRPr="00C85FEB">
        <w:rPr>
          <w:rFonts w:ascii="Times New Roman" w:hAnsi="Times New Roman"/>
          <w:sz w:val="24"/>
          <w:szCs w:val="24"/>
        </w:rPr>
        <w:t>Възложителя, има</w:t>
      </w:r>
      <w:r w:rsidR="00904EDA">
        <w:rPr>
          <w:rFonts w:ascii="Times New Roman" w:hAnsi="Times New Roman"/>
          <w:sz w:val="24"/>
          <w:szCs w:val="24"/>
          <w:lang w:val="bg-BG"/>
        </w:rPr>
        <w:t xml:space="preserve"> </w:t>
      </w:r>
      <w:r w:rsidRPr="00C85FEB">
        <w:rPr>
          <w:rFonts w:ascii="Times New Roman" w:hAnsi="Times New Roman"/>
          <w:sz w:val="24"/>
          <w:szCs w:val="24"/>
        </w:rPr>
        <w:t>за</w:t>
      </w:r>
      <w:r w:rsidR="00904EDA">
        <w:rPr>
          <w:rFonts w:ascii="Times New Roman" w:hAnsi="Times New Roman"/>
          <w:sz w:val="24"/>
          <w:szCs w:val="24"/>
          <w:lang w:val="bg-BG"/>
        </w:rPr>
        <w:t xml:space="preserve"> </w:t>
      </w:r>
      <w:r w:rsidRPr="00C85FEB">
        <w:rPr>
          <w:rFonts w:ascii="Times New Roman" w:hAnsi="Times New Roman"/>
          <w:sz w:val="24"/>
          <w:szCs w:val="24"/>
        </w:rPr>
        <w:t>цел</w:t>
      </w:r>
      <w:r w:rsidR="00904EDA">
        <w:rPr>
          <w:rFonts w:ascii="Times New Roman" w:hAnsi="Times New Roman"/>
          <w:sz w:val="24"/>
          <w:szCs w:val="24"/>
          <w:lang w:val="bg-BG"/>
        </w:rPr>
        <w:t xml:space="preserve"> </w:t>
      </w:r>
      <w:r w:rsidRPr="00C85FEB">
        <w:rPr>
          <w:rFonts w:ascii="Times New Roman" w:hAnsi="Times New Roman"/>
          <w:sz w:val="24"/>
          <w:szCs w:val="24"/>
        </w:rPr>
        <w:t>да</w:t>
      </w:r>
      <w:r w:rsidR="00904EDA">
        <w:rPr>
          <w:rFonts w:ascii="Times New Roman" w:hAnsi="Times New Roman"/>
          <w:sz w:val="24"/>
          <w:szCs w:val="24"/>
          <w:lang w:val="bg-BG"/>
        </w:rPr>
        <w:t xml:space="preserve"> </w:t>
      </w:r>
      <w:r w:rsidRPr="00C85FEB">
        <w:rPr>
          <w:rFonts w:ascii="Times New Roman" w:hAnsi="Times New Roman"/>
          <w:sz w:val="24"/>
          <w:szCs w:val="24"/>
        </w:rPr>
        <w:t>разгледа, оцени и класира</w:t>
      </w:r>
      <w:r w:rsidR="00904EDA">
        <w:rPr>
          <w:rFonts w:ascii="Times New Roman" w:hAnsi="Times New Roman"/>
          <w:sz w:val="24"/>
          <w:szCs w:val="24"/>
          <w:lang w:val="bg-BG"/>
        </w:rPr>
        <w:t xml:space="preserve"> </w:t>
      </w:r>
      <w:r w:rsidRPr="00C85FEB">
        <w:rPr>
          <w:rFonts w:ascii="Times New Roman" w:hAnsi="Times New Roman"/>
          <w:sz w:val="24"/>
          <w:szCs w:val="24"/>
        </w:rPr>
        <w:t>офертите</w:t>
      </w:r>
      <w:r w:rsidR="00904EDA">
        <w:rPr>
          <w:rFonts w:ascii="Times New Roman" w:hAnsi="Times New Roman"/>
          <w:sz w:val="24"/>
          <w:szCs w:val="24"/>
          <w:lang w:val="bg-BG"/>
        </w:rPr>
        <w:t xml:space="preserve"> </w:t>
      </w:r>
      <w:r w:rsidRPr="00C85FEB">
        <w:rPr>
          <w:rFonts w:ascii="Times New Roman" w:hAnsi="Times New Roman"/>
          <w:sz w:val="24"/>
          <w:szCs w:val="24"/>
        </w:rPr>
        <w:t>на</w:t>
      </w:r>
      <w:r w:rsidR="00904EDA">
        <w:rPr>
          <w:rFonts w:ascii="Times New Roman" w:hAnsi="Times New Roman"/>
          <w:sz w:val="24"/>
          <w:szCs w:val="24"/>
          <w:lang w:val="bg-BG"/>
        </w:rPr>
        <w:t xml:space="preserve"> </w:t>
      </w:r>
      <w:r w:rsidRPr="00C85FEB">
        <w:rPr>
          <w:rFonts w:ascii="Times New Roman" w:hAnsi="Times New Roman"/>
          <w:sz w:val="24"/>
          <w:szCs w:val="24"/>
        </w:rPr>
        <w:t>участниците. Членовете</w:t>
      </w:r>
      <w:r w:rsidR="00904EDA">
        <w:rPr>
          <w:rFonts w:ascii="Times New Roman" w:hAnsi="Times New Roman"/>
          <w:sz w:val="24"/>
          <w:szCs w:val="24"/>
          <w:lang w:val="bg-BG"/>
        </w:rPr>
        <w:t xml:space="preserve"> </w:t>
      </w:r>
      <w:r w:rsidRPr="00C85FEB">
        <w:rPr>
          <w:rFonts w:ascii="Times New Roman" w:hAnsi="Times New Roman"/>
          <w:sz w:val="24"/>
          <w:szCs w:val="24"/>
        </w:rPr>
        <w:t>на</w:t>
      </w:r>
      <w:r w:rsidR="00904EDA">
        <w:rPr>
          <w:rFonts w:ascii="Times New Roman" w:hAnsi="Times New Roman"/>
          <w:sz w:val="24"/>
          <w:szCs w:val="24"/>
          <w:lang w:val="bg-BG"/>
        </w:rPr>
        <w:t xml:space="preserve"> </w:t>
      </w:r>
      <w:r w:rsidRPr="00C85FEB">
        <w:rPr>
          <w:rFonts w:ascii="Times New Roman" w:hAnsi="Times New Roman"/>
          <w:sz w:val="24"/>
          <w:szCs w:val="24"/>
        </w:rPr>
        <w:t>комисията и консултантите (ако е приложимо) представят</w:t>
      </w:r>
      <w:r w:rsidR="00904EDA">
        <w:rPr>
          <w:rFonts w:ascii="Times New Roman" w:hAnsi="Times New Roman"/>
          <w:sz w:val="24"/>
          <w:szCs w:val="24"/>
          <w:lang w:val="bg-BG"/>
        </w:rPr>
        <w:t xml:space="preserve"> </w:t>
      </w:r>
      <w:r w:rsidRPr="00C85FEB">
        <w:rPr>
          <w:rFonts w:ascii="Times New Roman" w:hAnsi="Times New Roman"/>
          <w:sz w:val="24"/>
          <w:szCs w:val="24"/>
        </w:rPr>
        <w:t>на</w:t>
      </w:r>
      <w:r w:rsidR="00904EDA">
        <w:rPr>
          <w:rFonts w:ascii="Times New Roman" w:hAnsi="Times New Roman"/>
          <w:sz w:val="24"/>
          <w:szCs w:val="24"/>
          <w:lang w:val="bg-BG"/>
        </w:rPr>
        <w:t xml:space="preserve"> </w:t>
      </w:r>
      <w:r w:rsidRPr="00C85FEB">
        <w:rPr>
          <w:rFonts w:ascii="Times New Roman" w:hAnsi="Times New Roman"/>
          <w:sz w:val="24"/>
          <w:szCs w:val="24"/>
        </w:rPr>
        <w:t>Възложителя</w:t>
      </w:r>
      <w:r w:rsidR="00904EDA">
        <w:rPr>
          <w:rFonts w:ascii="Times New Roman" w:hAnsi="Times New Roman"/>
          <w:sz w:val="24"/>
          <w:szCs w:val="24"/>
          <w:lang w:val="bg-BG"/>
        </w:rPr>
        <w:t xml:space="preserve"> </w:t>
      </w:r>
      <w:r w:rsidRPr="00C85FEB">
        <w:rPr>
          <w:rFonts w:ascii="Times New Roman" w:hAnsi="Times New Roman"/>
          <w:sz w:val="24"/>
          <w:szCs w:val="24"/>
        </w:rPr>
        <w:t>декларация</w:t>
      </w:r>
      <w:r w:rsidR="00904EDA">
        <w:rPr>
          <w:rFonts w:ascii="Times New Roman" w:hAnsi="Times New Roman"/>
          <w:sz w:val="24"/>
          <w:szCs w:val="24"/>
          <w:lang w:val="bg-BG"/>
        </w:rPr>
        <w:t xml:space="preserve"> </w:t>
      </w:r>
      <w:r w:rsidRPr="00C85FEB">
        <w:rPr>
          <w:rFonts w:ascii="Times New Roman" w:hAnsi="Times New Roman"/>
          <w:sz w:val="24"/>
          <w:szCs w:val="24"/>
        </w:rPr>
        <w:t>за</w:t>
      </w:r>
      <w:r w:rsidR="00904EDA">
        <w:rPr>
          <w:rFonts w:ascii="Times New Roman" w:hAnsi="Times New Roman"/>
          <w:sz w:val="24"/>
          <w:szCs w:val="24"/>
          <w:lang w:val="bg-BG"/>
        </w:rPr>
        <w:t xml:space="preserve"> </w:t>
      </w:r>
      <w:r w:rsidRPr="00C85FEB">
        <w:rPr>
          <w:rFonts w:ascii="Times New Roman" w:hAnsi="Times New Roman"/>
          <w:sz w:val="24"/>
          <w:szCs w:val="24"/>
        </w:rPr>
        <w:t>спазване</w:t>
      </w:r>
      <w:r w:rsidR="00904EDA">
        <w:rPr>
          <w:rFonts w:ascii="Times New Roman" w:hAnsi="Times New Roman"/>
          <w:sz w:val="24"/>
          <w:szCs w:val="24"/>
          <w:lang w:val="bg-BG"/>
        </w:rPr>
        <w:t xml:space="preserve"> </w:t>
      </w:r>
      <w:r w:rsidRPr="00C85FEB">
        <w:rPr>
          <w:rFonts w:ascii="Times New Roman" w:hAnsi="Times New Roman"/>
          <w:sz w:val="24"/>
          <w:szCs w:val="24"/>
        </w:rPr>
        <w:t>на</w:t>
      </w:r>
      <w:r w:rsidR="00904EDA">
        <w:rPr>
          <w:rFonts w:ascii="Times New Roman" w:hAnsi="Times New Roman"/>
          <w:sz w:val="24"/>
          <w:szCs w:val="24"/>
          <w:lang w:val="bg-BG"/>
        </w:rPr>
        <w:t xml:space="preserve"> </w:t>
      </w:r>
      <w:r w:rsidRPr="00C85FEB">
        <w:rPr>
          <w:rFonts w:ascii="Times New Roman" w:hAnsi="Times New Roman"/>
          <w:sz w:val="24"/>
          <w:szCs w:val="24"/>
        </w:rPr>
        <w:t>изискванията</w:t>
      </w:r>
      <w:r w:rsidR="00904EDA">
        <w:rPr>
          <w:rFonts w:ascii="Times New Roman" w:hAnsi="Times New Roman"/>
          <w:sz w:val="24"/>
          <w:szCs w:val="24"/>
          <w:lang w:val="bg-BG"/>
        </w:rPr>
        <w:t xml:space="preserve"> </w:t>
      </w:r>
      <w:r w:rsidRPr="00C85FEB">
        <w:rPr>
          <w:rFonts w:ascii="Times New Roman" w:hAnsi="Times New Roman"/>
          <w:sz w:val="24"/>
          <w:szCs w:val="24"/>
        </w:rPr>
        <w:t>по</w:t>
      </w:r>
      <w:r w:rsidR="00904EDA">
        <w:rPr>
          <w:rFonts w:ascii="Times New Roman" w:hAnsi="Times New Roman"/>
          <w:sz w:val="24"/>
          <w:szCs w:val="24"/>
          <w:lang w:val="bg-BG"/>
        </w:rPr>
        <w:t xml:space="preserve"> </w:t>
      </w:r>
      <w:r w:rsidRPr="00C85FEB">
        <w:rPr>
          <w:rFonts w:ascii="Times New Roman" w:hAnsi="Times New Roman"/>
          <w:sz w:val="24"/>
          <w:szCs w:val="24"/>
        </w:rPr>
        <w:t>чл. 103, ал. 2 от ЗОП след</w:t>
      </w:r>
      <w:r w:rsidR="00904EDA">
        <w:rPr>
          <w:rFonts w:ascii="Times New Roman" w:hAnsi="Times New Roman"/>
          <w:sz w:val="24"/>
          <w:szCs w:val="24"/>
          <w:lang w:val="bg-BG"/>
        </w:rPr>
        <w:t xml:space="preserve"> </w:t>
      </w:r>
      <w:r w:rsidRPr="00C85FEB">
        <w:rPr>
          <w:rFonts w:ascii="Times New Roman" w:hAnsi="Times New Roman"/>
          <w:sz w:val="24"/>
          <w:szCs w:val="24"/>
        </w:rPr>
        <w:t>получаване</w:t>
      </w:r>
      <w:r w:rsidR="00904EDA">
        <w:rPr>
          <w:rFonts w:ascii="Times New Roman" w:hAnsi="Times New Roman"/>
          <w:sz w:val="24"/>
          <w:szCs w:val="24"/>
          <w:lang w:val="bg-BG"/>
        </w:rPr>
        <w:t xml:space="preserve"> </w:t>
      </w:r>
      <w:r w:rsidRPr="00C85FEB">
        <w:rPr>
          <w:rFonts w:ascii="Times New Roman" w:hAnsi="Times New Roman"/>
          <w:sz w:val="24"/>
          <w:szCs w:val="24"/>
        </w:rPr>
        <w:t>на</w:t>
      </w:r>
      <w:r w:rsidR="00904EDA">
        <w:rPr>
          <w:rFonts w:ascii="Times New Roman" w:hAnsi="Times New Roman"/>
          <w:sz w:val="24"/>
          <w:szCs w:val="24"/>
          <w:lang w:val="bg-BG"/>
        </w:rPr>
        <w:t xml:space="preserve"> </w:t>
      </w:r>
      <w:r w:rsidRPr="00C85FEB">
        <w:rPr>
          <w:rFonts w:ascii="Times New Roman" w:hAnsi="Times New Roman"/>
          <w:sz w:val="24"/>
          <w:szCs w:val="24"/>
        </w:rPr>
        <w:t>списъка с участниците и на</w:t>
      </w:r>
      <w:r w:rsidR="00904EDA">
        <w:rPr>
          <w:rFonts w:ascii="Times New Roman" w:hAnsi="Times New Roman"/>
          <w:sz w:val="24"/>
          <w:szCs w:val="24"/>
          <w:lang w:val="bg-BG"/>
        </w:rPr>
        <w:t xml:space="preserve"> </w:t>
      </w:r>
      <w:r w:rsidRPr="00C85FEB">
        <w:rPr>
          <w:rFonts w:ascii="Times New Roman" w:hAnsi="Times New Roman"/>
          <w:sz w:val="24"/>
          <w:szCs w:val="24"/>
        </w:rPr>
        <w:t>всеки</w:t>
      </w:r>
      <w:r w:rsidR="00904EDA">
        <w:rPr>
          <w:rFonts w:ascii="Times New Roman" w:hAnsi="Times New Roman"/>
          <w:sz w:val="24"/>
          <w:szCs w:val="24"/>
          <w:lang w:val="bg-BG"/>
        </w:rPr>
        <w:t xml:space="preserve"> </w:t>
      </w:r>
      <w:r w:rsidRPr="00C85FEB">
        <w:rPr>
          <w:rFonts w:ascii="Times New Roman" w:hAnsi="Times New Roman"/>
          <w:sz w:val="24"/>
          <w:szCs w:val="24"/>
        </w:rPr>
        <w:t>етап</w:t>
      </w:r>
      <w:r w:rsidR="00904EDA">
        <w:rPr>
          <w:rFonts w:ascii="Times New Roman" w:hAnsi="Times New Roman"/>
          <w:sz w:val="24"/>
          <w:szCs w:val="24"/>
          <w:lang w:val="bg-BG"/>
        </w:rPr>
        <w:t xml:space="preserve"> </w:t>
      </w:r>
      <w:r w:rsidRPr="00C85FEB">
        <w:rPr>
          <w:rFonts w:ascii="Times New Roman" w:hAnsi="Times New Roman"/>
          <w:sz w:val="24"/>
          <w:szCs w:val="24"/>
        </w:rPr>
        <w:t>от</w:t>
      </w:r>
      <w:r w:rsidR="00904EDA">
        <w:rPr>
          <w:rFonts w:ascii="Times New Roman" w:hAnsi="Times New Roman"/>
          <w:sz w:val="24"/>
          <w:szCs w:val="24"/>
          <w:lang w:val="bg-BG"/>
        </w:rPr>
        <w:t xml:space="preserve"> </w:t>
      </w:r>
      <w:r w:rsidRPr="00C85FEB">
        <w:rPr>
          <w:rFonts w:ascii="Times New Roman" w:hAnsi="Times New Roman"/>
          <w:sz w:val="24"/>
          <w:szCs w:val="24"/>
        </w:rPr>
        <w:t>процедурата, когато</w:t>
      </w:r>
      <w:r w:rsidR="00904EDA">
        <w:rPr>
          <w:rFonts w:ascii="Times New Roman" w:hAnsi="Times New Roman"/>
          <w:sz w:val="24"/>
          <w:szCs w:val="24"/>
          <w:lang w:val="bg-BG"/>
        </w:rPr>
        <w:t xml:space="preserve"> </w:t>
      </w:r>
      <w:r w:rsidRPr="00C85FEB">
        <w:rPr>
          <w:rFonts w:ascii="Times New Roman" w:hAnsi="Times New Roman"/>
          <w:sz w:val="24"/>
          <w:szCs w:val="24"/>
        </w:rPr>
        <w:t>настъпи</w:t>
      </w:r>
      <w:r w:rsidR="00904EDA">
        <w:rPr>
          <w:rFonts w:ascii="Times New Roman" w:hAnsi="Times New Roman"/>
          <w:sz w:val="24"/>
          <w:szCs w:val="24"/>
          <w:lang w:val="bg-BG"/>
        </w:rPr>
        <w:t xml:space="preserve"> </w:t>
      </w:r>
      <w:r w:rsidRPr="00C85FEB">
        <w:rPr>
          <w:rFonts w:ascii="Times New Roman" w:hAnsi="Times New Roman"/>
          <w:sz w:val="24"/>
          <w:szCs w:val="24"/>
        </w:rPr>
        <w:t>промяна в декларираните</w:t>
      </w:r>
      <w:r w:rsidR="00904EDA">
        <w:rPr>
          <w:rFonts w:ascii="Times New Roman" w:hAnsi="Times New Roman"/>
          <w:sz w:val="24"/>
          <w:szCs w:val="24"/>
          <w:lang w:val="bg-BG"/>
        </w:rPr>
        <w:t xml:space="preserve"> </w:t>
      </w:r>
      <w:r w:rsidRPr="00C85FEB">
        <w:rPr>
          <w:rFonts w:ascii="Times New Roman" w:hAnsi="Times New Roman"/>
          <w:sz w:val="24"/>
          <w:szCs w:val="24"/>
        </w:rPr>
        <w:t>обстоятелства.</w:t>
      </w:r>
      <w:bookmarkEnd w:id="85"/>
      <w:bookmarkEnd w:id="86"/>
    </w:p>
    <w:p w:rsidR="00B070D8" w:rsidRPr="00CA152A" w:rsidRDefault="00B070D8" w:rsidP="007070C8">
      <w:pPr>
        <w:numPr>
          <w:ilvl w:val="0"/>
          <w:numId w:val="26"/>
        </w:numPr>
        <w:spacing w:line="276" w:lineRule="auto"/>
        <w:ind w:firstLine="540"/>
        <w:jc w:val="both"/>
        <w:outlineLvl w:val="1"/>
        <w:rPr>
          <w:b/>
        </w:rPr>
      </w:pPr>
      <w:bookmarkStart w:id="87" w:name="_Toc3989872"/>
      <w:bookmarkStart w:id="88" w:name="_Toc3990227"/>
      <w:r w:rsidRPr="00CA152A">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Присъстващите представители вписват имената си и се подписват в изготвен от комисията списък, удостоверяващ тяхното присъствие.</w:t>
      </w:r>
      <w:bookmarkEnd w:id="87"/>
      <w:bookmarkEnd w:id="88"/>
    </w:p>
    <w:p w:rsidR="00B070D8" w:rsidRPr="00CA152A" w:rsidRDefault="00B070D8" w:rsidP="007070C8">
      <w:pPr>
        <w:numPr>
          <w:ilvl w:val="0"/>
          <w:numId w:val="26"/>
        </w:numPr>
        <w:spacing w:line="276" w:lineRule="auto"/>
        <w:ind w:firstLine="540"/>
        <w:jc w:val="both"/>
        <w:outlineLvl w:val="1"/>
        <w:rPr>
          <w:b/>
        </w:rPr>
      </w:pPr>
      <w:bookmarkStart w:id="89" w:name="_Toc3989873"/>
      <w:bookmarkStart w:id="90" w:name="_Toc3990228"/>
      <w:r w:rsidRPr="00CA152A">
        <w:t>Комисията разглежда, оценява и класира представените оферти за участие в процедурата в съответствие с чл. 104 и сл</w:t>
      </w:r>
      <w:r w:rsidR="00B3386C">
        <w:t>едващите</w:t>
      </w:r>
      <w:r w:rsidRPr="00CA152A">
        <w:t xml:space="preserve"> от Закона за обществените поръчки и условията на настоящата документация за участие.</w:t>
      </w:r>
      <w:bookmarkEnd w:id="89"/>
      <w:bookmarkEnd w:id="90"/>
    </w:p>
    <w:p w:rsidR="00B070D8" w:rsidRPr="00CA152A" w:rsidRDefault="00B070D8" w:rsidP="007070C8">
      <w:pPr>
        <w:numPr>
          <w:ilvl w:val="0"/>
          <w:numId w:val="26"/>
        </w:numPr>
        <w:spacing w:line="276" w:lineRule="auto"/>
        <w:ind w:firstLine="540"/>
        <w:jc w:val="both"/>
        <w:outlineLvl w:val="1"/>
      </w:pPr>
      <w:bookmarkStart w:id="91" w:name="_Toc3989874"/>
      <w:bookmarkStart w:id="92" w:name="_Toc3990229"/>
      <w:r w:rsidRPr="00CA152A">
        <w:t>Освен на основанията на чл. 54 и 55 от ЗОП, комисията отстранява от участие в процедурата участник, за когото е налице и някоя от хипотезите на чл.107 от ЗОП и съответно при посочените в настоящата документация хипотези.</w:t>
      </w:r>
      <w:bookmarkEnd w:id="91"/>
      <w:bookmarkEnd w:id="92"/>
    </w:p>
    <w:p w:rsidR="00B070D8" w:rsidRPr="00CA152A" w:rsidRDefault="00B070D8" w:rsidP="007070C8">
      <w:pPr>
        <w:numPr>
          <w:ilvl w:val="0"/>
          <w:numId w:val="26"/>
        </w:numPr>
        <w:spacing w:line="276" w:lineRule="auto"/>
        <w:ind w:firstLine="540"/>
        <w:jc w:val="both"/>
        <w:outlineLvl w:val="1"/>
        <w:rPr>
          <w:b/>
        </w:rPr>
      </w:pPr>
      <w:bookmarkStart w:id="93" w:name="_Toc3989875"/>
      <w:bookmarkStart w:id="94" w:name="_Toc3990230"/>
      <w:r w:rsidRPr="00CA152A">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комисията изисква подробна писмена обосновка за начина на неговото образуване, която се представя в 5 дневен срок от получаване на искането. Комисията разглежда и съответно приема или не представената писмена обосновка в съответствие с чл. 72 от ЗОП.</w:t>
      </w:r>
      <w:bookmarkEnd w:id="93"/>
      <w:bookmarkEnd w:id="94"/>
    </w:p>
    <w:p w:rsidR="00B070D8" w:rsidRPr="00CA152A" w:rsidRDefault="00B070D8" w:rsidP="007070C8">
      <w:pPr>
        <w:numPr>
          <w:ilvl w:val="0"/>
          <w:numId w:val="26"/>
        </w:numPr>
        <w:spacing w:line="276" w:lineRule="auto"/>
        <w:ind w:firstLine="540"/>
        <w:jc w:val="both"/>
        <w:outlineLvl w:val="1"/>
        <w:rPr>
          <w:b/>
        </w:rPr>
      </w:pPr>
      <w:bookmarkStart w:id="95" w:name="_Toc3989876"/>
      <w:bookmarkStart w:id="96" w:name="_Toc3990231"/>
      <w:r w:rsidRPr="00CA152A">
        <w:t xml:space="preserve">Комисията класира участниците по степента на съответствие на офертите с предварително обявените от Възложителя условия и при спазване на условията на Раздел </w:t>
      </w:r>
      <w:r w:rsidRPr="00CA152A">
        <w:rPr>
          <w:lang w:val="en-US"/>
        </w:rPr>
        <w:t>V</w:t>
      </w:r>
      <w:r w:rsidRPr="00CA152A">
        <w:t xml:space="preserve"> „КРИТЕРИИ ЗА ВЪЗЛАГАНЕ“.</w:t>
      </w:r>
      <w:bookmarkEnd w:id="95"/>
      <w:bookmarkEnd w:id="96"/>
    </w:p>
    <w:p w:rsidR="00B070D8" w:rsidRPr="00CA152A" w:rsidRDefault="00B070D8" w:rsidP="007070C8">
      <w:pPr>
        <w:numPr>
          <w:ilvl w:val="0"/>
          <w:numId w:val="26"/>
        </w:numPr>
        <w:spacing w:line="276" w:lineRule="auto"/>
        <w:ind w:firstLine="540"/>
        <w:jc w:val="both"/>
        <w:outlineLvl w:val="1"/>
        <w:rPr>
          <w:b/>
        </w:rPr>
      </w:pPr>
      <w:bookmarkStart w:id="97" w:name="_Toc3989877"/>
      <w:bookmarkStart w:id="98" w:name="_Toc3990232"/>
      <w:r w:rsidRPr="00CA152A">
        <w:t>Действията на Комисията се протоколират, като резултатите от работата й се отразяват в доклад, който се подписва от всички членове на комисията и се предава на Възложителя, заедно с цялата документация. Възложителят, в 10–дневен срок от получаването на доклада, го одобрява или връща с писмени указания, съгласно чл. 106, ал. 3 от ЗОП.</w:t>
      </w:r>
      <w:bookmarkEnd w:id="97"/>
      <w:bookmarkEnd w:id="98"/>
    </w:p>
    <w:p w:rsidR="00B070D8" w:rsidRPr="00CA152A" w:rsidRDefault="00B070D8" w:rsidP="007070C8">
      <w:pPr>
        <w:keepNext/>
        <w:keepLines/>
        <w:spacing w:before="480" w:line="276" w:lineRule="auto"/>
        <w:ind w:firstLine="540"/>
        <w:jc w:val="both"/>
        <w:outlineLvl w:val="0"/>
        <w:rPr>
          <w:b/>
          <w:bCs/>
        </w:rPr>
      </w:pPr>
      <w:bookmarkStart w:id="99" w:name="_Toc457472832"/>
      <w:bookmarkStart w:id="100" w:name="_Toc3990233"/>
      <w:r w:rsidRPr="00CA152A">
        <w:rPr>
          <w:b/>
          <w:bCs/>
        </w:rPr>
        <w:t>РАЗДЕЛ ХIХ. ОПРЕДЕЛЯНЕ НА ИЗПЪЛНИТЕЛ НА ОБЩЕСТВЕНАТА ПОРЪЧКА. ПРЕКРАТЯВАНЕ НА ПРОЦЕДУРАТА.</w:t>
      </w:r>
      <w:bookmarkEnd w:id="99"/>
      <w:bookmarkEnd w:id="100"/>
    </w:p>
    <w:p w:rsidR="00B070D8" w:rsidRPr="00BF5A7F" w:rsidRDefault="00B070D8" w:rsidP="007070C8">
      <w:pPr>
        <w:spacing w:line="276" w:lineRule="auto"/>
        <w:ind w:firstLine="540"/>
        <w:jc w:val="both"/>
      </w:pPr>
    </w:p>
    <w:p w:rsidR="00B070D8" w:rsidRPr="00BF5A7F" w:rsidRDefault="00B070D8" w:rsidP="007070C8">
      <w:pPr>
        <w:spacing w:line="276" w:lineRule="auto"/>
        <w:ind w:firstLine="540"/>
        <w:jc w:val="both"/>
      </w:pPr>
      <w:r w:rsidRPr="00BF5A7F">
        <w:t xml:space="preserve">1. Възложителят, </w:t>
      </w:r>
      <w:r w:rsidRPr="00BF5A7F">
        <w:rPr>
          <w:b/>
        </w:rPr>
        <w:t>в 10 дневен срок</w:t>
      </w:r>
      <w:r w:rsidRPr="00BF5A7F">
        <w:t xml:space="preserve"> от </w:t>
      </w:r>
      <w:r w:rsidR="00FD75E1">
        <w:t xml:space="preserve">утвърждаване </w:t>
      </w:r>
      <w:r w:rsidRPr="00BF5A7F">
        <w:t xml:space="preserve">на </w:t>
      </w:r>
      <w:r w:rsidR="00FD75E1">
        <w:t>доклада</w:t>
      </w:r>
      <w:r w:rsidRPr="00BF5A7F">
        <w:t xml:space="preserve"> на комисията, определя за изпълнител на поръчката участник, съгласно чл. 109 от ЗОП.</w:t>
      </w:r>
    </w:p>
    <w:p w:rsidR="00B070D8" w:rsidRPr="00BF5A7F" w:rsidRDefault="00B070D8" w:rsidP="007070C8">
      <w:pPr>
        <w:spacing w:line="276" w:lineRule="auto"/>
        <w:ind w:firstLine="540"/>
        <w:jc w:val="both"/>
      </w:pPr>
      <w:r w:rsidRPr="00BF5A7F">
        <w:t>2. Възложителят</w:t>
      </w:r>
      <w:r w:rsidR="00FD75E1">
        <w:t>,</w:t>
      </w:r>
      <w:r w:rsidR="00FD75E1" w:rsidRPr="00FD75E1">
        <w:rPr>
          <w:b/>
        </w:rPr>
        <w:t xml:space="preserve"> в 10 дневен срок</w:t>
      </w:r>
      <w:r w:rsidR="00FD75E1" w:rsidRPr="00FD75E1">
        <w:t xml:space="preserve"> от утвърждаване на доклада на комисията</w:t>
      </w:r>
      <w:r w:rsidR="00FD75E1">
        <w:t>,</w:t>
      </w:r>
      <w:r w:rsidRPr="00BF5A7F">
        <w:t xml:space="preserve"> прекратява поръчката с мотивирано решение при наличие на обстоятелствата по чл. 110 от ЗОП.</w:t>
      </w:r>
    </w:p>
    <w:p w:rsidR="00C158BE" w:rsidRDefault="00C158BE" w:rsidP="007070C8">
      <w:pPr>
        <w:keepNext/>
        <w:keepLines/>
        <w:spacing w:before="480" w:line="276" w:lineRule="auto"/>
        <w:ind w:firstLine="540"/>
        <w:jc w:val="both"/>
        <w:outlineLvl w:val="0"/>
        <w:rPr>
          <w:b/>
          <w:bCs/>
          <w:lang w:val="en-US"/>
        </w:rPr>
      </w:pPr>
      <w:bookmarkStart w:id="101" w:name="_Toc457472833"/>
      <w:bookmarkStart w:id="102" w:name="_Toc3990234"/>
    </w:p>
    <w:p w:rsidR="00B070D8" w:rsidRPr="00CA152A" w:rsidRDefault="00B070D8" w:rsidP="007070C8">
      <w:pPr>
        <w:keepNext/>
        <w:keepLines/>
        <w:spacing w:before="480" w:line="276" w:lineRule="auto"/>
        <w:ind w:firstLine="540"/>
        <w:jc w:val="both"/>
        <w:outlineLvl w:val="0"/>
        <w:rPr>
          <w:b/>
          <w:bCs/>
        </w:rPr>
      </w:pPr>
      <w:r w:rsidRPr="00CA152A">
        <w:rPr>
          <w:b/>
          <w:bCs/>
        </w:rPr>
        <w:t>РАЗДЕЛ Х. СКЛЮЧВАНЕ НА ДОГОВОР</w:t>
      </w:r>
      <w:bookmarkEnd w:id="101"/>
      <w:bookmarkEnd w:id="102"/>
    </w:p>
    <w:p w:rsidR="00B070D8" w:rsidRPr="00BF5A7F" w:rsidRDefault="00B070D8" w:rsidP="007070C8">
      <w:pPr>
        <w:spacing w:line="276" w:lineRule="auto"/>
        <w:ind w:left="720" w:firstLine="540"/>
        <w:contextualSpacing/>
        <w:jc w:val="both"/>
        <w:rPr>
          <w:rFonts w:eastAsia="MS ??"/>
          <w:sz w:val="22"/>
        </w:rPr>
      </w:pPr>
    </w:p>
    <w:p w:rsidR="00B070D8" w:rsidRPr="00CA152A" w:rsidRDefault="00B070D8" w:rsidP="007070C8">
      <w:pPr>
        <w:numPr>
          <w:ilvl w:val="0"/>
          <w:numId w:val="27"/>
        </w:numPr>
        <w:spacing w:line="276" w:lineRule="auto"/>
        <w:ind w:left="851" w:firstLine="540"/>
        <w:jc w:val="both"/>
        <w:outlineLvl w:val="1"/>
      </w:pPr>
      <w:bookmarkStart w:id="103" w:name="_Toc3989880"/>
      <w:bookmarkStart w:id="104" w:name="_Toc3990235"/>
      <w:r w:rsidRPr="00CA152A">
        <w:t>Възложителят обявява с мотивирано решение класирането на участниците и участника, определен за Изпълнител на обществената поръчка.</w:t>
      </w:r>
      <w:bookmarkEnd w:id="103"/>
      <w:bookmarkEnd w:id="104"/>
    </w:p>
    <w:p w:rsidR="00B070D8" w:rsidRPr="00CA152A" w:rsidRDefault="00B070D8" w:rsidP="007070C8">
      <w:pPr>
        <w:numPr>
          <w:ilvl w:val="0"/>
          <w:numId w:val="26"/>
        </w:numPr>
        <w:spacing w:line="276" w:lineRule="auto"/>
        <w:ind w:left="851" w:firstLine="540"/>
        <w:jc w:val="both"/>
        <w:outlineLvl w:val="1"/>
        <w:rPr>
          <w:b/>
        </w:rPr>
      </w:pPr>
      <w:bookmarkStart w:id="105" w:name="_Toc3989881"/>
      <w:bookmarkStart w:id="106" w:name="_Toc3990236"/>
      <w:r w:rsidRPr="00CA152A">
        <w:t>Възложителят изпраща решението за определяне на изпълнител в един и същи ден на участниците и го публикува в своя профил на купувача.</w:t>
      </w:r>
      <w:bookmarkEnd w:id="105"/>
      <w:bookmarkEnd w:id="106"/>
    </w:p>
    <w:p w:rsidR="00B070D8" w:rsidRPr="00CA152A" w:rsidRDefault="00B070D8" w:rsidP="007070C8">
      <w:pPr>
        <w:numPr>
          <w:ilvl w:val="0"/>
          <w:numId w:val="26"/>
        </w:numPr>
        <w:spacing w:line="276" w:lineRule="auto"/>
        <w:ind w:left="851" w:firstLine="540"/>
        <w:jc w:val="both"/>
        <w:outlineLvl w:val="1"/>
      </w:pPr>
      <w:bookmarkStart w:id="107" w:name="_Toc3989882"/>
      <w:bookmarkStart w:id="108" w:name="_Toc3990237"/>
      <w:r w:rsidRPr="00CA152A">
        <w:t>Договорът за обществена поръчка се сключва с участника, определен за изпълнител, който преди подписването му е длъжен да представи:</w:t>
      </w:r>
      <w:bookmarkEnd w:id="107"/>
      <w:bookmarkEnd w:id="108"/>
    </w:p>
    <w:p w:rsidR="00B070D8" w:rsidRPr="00BF5A7F" w:rsidRDefault="00B070D8" w:rsidP="007070C8">
      <w:pPr>
        <w:spacing w:line="276" w:lineRule="auto"/>
        <w:ind w:firstLine="540"/>
        <w:jc w:val="both"/>
      </w:pPr>
    </w:p>
    <w:p w:rsidR="00B070D8" w:rsidRPr="00BF5A7F" w:rsidRDefault="00B070D8" w:rsidP="007070C8">
      <w:pPr>
        <w:numPr>
          <w:ilvl w:val="2"/>
          <w:numId w:val="28"/>
        </w:numPr>
        <w:spacing w:line="276" w:lineRule="auto"/>
        <w:ind w:left="1134" w:firstLine="540"/>
        <w:contextualSpacing/>
        <w:jc w:val="both"/>
        <w:rPr>
          <w:rFonts w:eastAsia="MS ??"/>
        </w:rPr>
      </w:pPr>
      <w:r w:rsidRPr="00BF5A7F">
        <w:rPr>
          <w:rFonts w:eastAsia="MS ??"/>
        </w:rPr>
        <w:t xml:space="preserve">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B070D8" w:rsidRPr="00BF5A7F" w:rsidRDefault="00B070D8" w:rsidP="007070C8">
      <w:pPr>
        <w:numPr>
          <w:ilvl w:val="2"/>
          <w:numId w:val="28"/>
        </w:numPr>
        <w:spacing w:line="276" w:lineRule="auto"/>
        <w:ind w:left="1134" w:firstLine="540"/>
        <w:contextualSpacing/>
        <w:jc w:val="both"/>
        <w:rPr>
          <w:rFonts w:eastAsia="MS ??"/>
        </w:rPr>
      </w:pPr>
      <w:r w:rsidRPr="00BF5A7F">
        <w:rPr>
          <w:rFonts w:eastAsia="MS ??"/>
        </w:rPr>
        <w:t xml:space="preserve">определената гаранция за изпълнение на договора; </w:t>
      </w:r>
    </w:p>
    <w:p w:rsidR="00B070D8" w:rsidRPr="00BF5A7F" w:rsidRDefault="00B070D8" w:rsidP="007070C8">
      <w:pPr>
        <w:spacing w:line="276" w:lineRule="auto"/>
        <w:ind w:firstLine="540"/>
        <w:jc w:val="both"/>
      </w:pPr>
    </w:p>
    <w:p w:rsidR="00B070D8" w:rsidRPr="00BF5A7F" w:rsidRDefault="00B070D8" w:rsidP="007070C8">
      <w:pPr>
        <w:spacing w:line="276" w:lineRule="auto"/>
        <w:ind w:firstLine="540"/>
        <w:jc w:val="both"/>
        <w:rPr>
          <w:i/>
          <w:u w:val="single"/>
        </w:rPr>
      </w:pPr>
      <w:r w:rsidRPr="00BF5A7F">
        <w:rPr>
          <w:i/>
          <w:u w:val="single"/>
        </w:rPr>
        <w:t xml:space="preserve">Възложителят може с решение да прекрати процедурата или да определи за изпълнител втория класиран участник, когато класирания на първо място участник: </w:t>
      </w:r>
    </w:p>
    <w:p w:rsidR="00B070D8" w:rsidRPr="00BF5A7F" w:rsidRDefault="00B070D8" w:rsidP="007070C8">
      <w:pPr>
        <w:spacing w:line="276" w:lineRule="auto"/>
        <w:ind w:firstLine="540"/>
        <w:jc w:val="both"/>
      </w:pPr>
    </w:p>
    <w:p w:rsidR="00B070D8" w:rsidRPr="00BF5A7F" w:rsidRDefault="00B070D8" w:rsidP="007070C8">
      <w:pPr>
        <w:numPr>
          <w:ilvl w:val="2"/>
          <w:numId w:val="29"/>
        </w:numPr>
        <w:spacing w:line="276" w:lineRule="auto"/>
        <w:ind w:left="851" w:firstLine="540"/>
        <w:contextualSpacing/>
        <w:jc w:val="both"/>
        <w:rPr>
          <w:rFonts w:eastAsia="MS ??"/>
        </w:rPr>
      </w:pPr>
      <w:r w:rsidRPr="00BF5A7F">
        <w:rPr>
          <w:rFonts w:eastAsia="MS ??"/>
        </w:rPr>
        <w:t xml:space="preserve">откаже да сключи договор; </w:t>
      </w:r>
    </w:p>
    <w:p w:rsidR="00B070D8" w:rsidRPr="00BF5A7F" w:rsidRDefault="00B070D8" w:rsidP="007070C8">
      <w:pPr>
        <w:numPr>
          <w:ilvl w:val="2"/>
          <w:numId w:val="29"/>
        </w:numPr>
        <w:spacing w:line="276" w:lineRule="auto"/>
        <w:ind w:left="851" w:firstLine="540"/>
        <w:contextualSpacing/>
        <w:jc w:val="both"/>
        <w:rPr>
          <w:rFonts w:eastAsia="MS ??"/>
        </w:rPr>
      </w:pPr>
      <w:r w:rsidRPr="00BF5A7F">
        <w:rPr>
          <w:rFonts w:eastAsia="MS ??"/>
        </w:rPr>
        <w:t xml:space="preserve">не изпълни някое от условията по т. 3 на настоящия раздел /по-горе/; </w:t>
      </w:r>
    </w:p>
    <w:p w:rsidR="00B070D8" w:rsidRPr="00BF5A7F" w:rsidRDefault="00B070D8" w:rsidP="007070C8">
      <w:pPr>
        <w:numPr>
          <w:ilvl w:val="2"/>
          <w:numId w:val="29"/>
        </w:numPr>
        <w:spacing w:line="276" w:lineRule="auto"/>
        <w:ind w:left="851" w:firstLine="540"/>
        <w:contextualSpacing/>
        <w:jc w:val="both"/>
        <w:rPr>
          <w:rFonts w:eastAsia="MS ??"/>
        </w:rPr>
      </w:pPr>
      <w:r w:rsidRPr="00BF5A7F">
        <w:rPr>
          <w:rFonts w:eastAsia="MS ??"/>
        </w:rPr>
        <w:t>не докаже, че не са налице основания за отстраняване от процедурата.</w:t>
      </w:r>
    </w:p>
    <w:p w:rsidR="00B070D8" w:rsidRPr="00BF5A7F" w:rsidRDefault="00B070D8" w:rsidP="007070C8">
      <w:pPr>
        <w:spacing w:line="276" w:lineRule="auto"/>
        <w:ind w:firstLine="540"/>
        <w:jc w:val="both"/>
      </w:pPr>
    </w:p>
    <w:p w:rsidR="00B070D8" w:rsidRPr="00BF5A7F" w:rsidRDefault="00B070D8" w:rsidP="007070C8">
      <w:pPr>
        <w:spacing w:line="276" w:lineRule="auto"/>
        <w:ind w:firstLine="540"/>
        <w:jc w:val="both"/>
      </w:pPr>
      <w:r w:rsidRPr="00BF5A7F">
        <w:t>Възложителят сключва договора за възлагане на обществената поръчка с класирания на първо място участник в едномесечен срок от влизане в сила на решението за определяне на изпълнител или на определението, с което е допуснато предварително изпълнение на това решение. Възложителят няма право да сключи договор с избрания изпълнител преди влизането в сила на всички решения по процедурата или постановяване на определение за предварително изпълнение, в случай на обжалване на процедурата.</w:t>
      </w:r>
    </w:p>
    <w:p w:rsidR="00B070D8" w:rsidRPr="00BF5A7F" w:rsidRDefault="00B070D8" w:rsidP="007070C8">
      <w:pPr>
        <w:spacing w:line="276" w:lineRule="auto"/>
        <w:ind w:firstLine="540"/>
        <w:jc w:val="both"/>
      </w:pPr>
      <w:r w:rsidRPr="00BF5A7F">
        <w:t>Възложителят може да сключи договора за обществена поръчка преди изтичането на 14-дневния срок от уведомяването на заинтересованите участници, когато определеният за изпълнител е единственият заинтересован участник в процедурата.</w:t>
      </w:r>
    </w:p>
    <w:p w:rsidR="00B070D8" w:rsidRPr="00BF5A7F" w:rsidRDefault="00B070D8" w:rsidP="007070C8">
      <w:pPr>
        <w:spacing w:line="276" w:lineRule="auto"/>
        <w:ind w:left="720" w:firstLine="540"/>
        <w:contextualSpacing/>
        <w:jc w:val="both"/>
        <w:rPr>
          <w:rFonts w:eastAsia="MS ??"/>
          <w:sz w:val="22"/>
        </w:rPr>
      </w:pPr>
    </w:p>
    <w:p w:rsidR="00B070D8" w:rsidRPr="00CA152A" w:rsidRDefault="00B070D8" w:rsidP="007070C8">
      <w:pPr>
        <w:numPr>
          <w:ilvl w:val="0"/>
          <w:numId w:val="26"/>
        </w:numPr>
        <w:spacing w:line="276" w:lineRule="auto"/>
        <w:ind w:left="0" w:firstLine="540"/>
        <w:jc w:val="both"/>
        <w:outlineLvl w:val="1"/>
      </w:pPr>
      <w:bookmarkStart w:id="109" w:name="_Toc3989883"/>
      <w:bookmarkStart w:id="110" w:name="_Toc3990238"/>
      <w:r w:rsidRPr="00CA152A">
        <w:t>Когато в офертата на участника, определен за изпълнител, е посочено, че той ще ползва подизпълнител/и, след сключване на договора за обществена поръчка, изпълнителят сключва договор/и за подизпълнение с обявения/те в офертата подизпълнител/и.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 Подизпълнителите нямат право да превъзлагат една или повече от дейностите, които са включени в предмета на договора за подизпълнение.</w:t>
      </w:r>
      <w:bookmarkEnd w:id="109"/>
      <w:bookmarkEnd w:id="110"/>
    </w:p>
    <w:p w:rsidR="00B070D8" w:rsidRPr="00CA152A" w:rsidRDefault="00B070D8" w:rsidP="007070C8">
      <w:pPr>
        <w:keepNext/>
        <w:keepLines/>
        <w:spacing w:before="480" w:line="276" w:lineRule="auto"/>
        <w:ind w:firstLine="540"/>
        <w:jc w:val="both"/>
        <w:outlineLvl w:val="0"/>
        <w:rPr>
          <w:b/>
          <w:bCs/>
        </w:rPr>
      </w:pPr>
      <w:bookmarkStart w:id="111" w:name="_Toc457472834"/>
      <w:bookmarkStart w:id="112" w:name="_Toc3989884"/>
      <w:bookmarkStart w:id="113" w:name="_Toc3990239"/>
      <w:r w:rsidRPr="00CA152A">
        <w:rPr>
          <w:b/>
          <w:bCs/>
        </w:rPr>
        <w:lastRenderedPageBreak/>
        <w:t>РАЗДЕЛ XI. КОМУНИКАЦИЯ МЕЖДУ ВЪЗЛОЖИТЕЛЯ И УЧАСТНИЦИТЕ</w:t>
      </w:r>
      <w:bookmarkEnd w:id="111"/>
      <w:bookmarkEnd w:id="112"/>
      <w:bookmarkEnd w:id="113"/>
    </w:p>
    <w:p w:rsidR="00B070D8" w:rsidRPr="00BF5A7F" w:rsidRDefault="00B070D8" w:rsidP="007070C8">
      <w:pPr>
        <w:spacing w:line="276" w:lineRule="auto"/>
        <w:ind w:left="720" w:firstLine="540"/>
        <w:contextualSpacing/>
        <w:jc w:val="both"/>
        <w:rPr>
          <w:rFonts w:eastAsia="MS ??"/>
          <w:sz w:val="22"/>
        </w:rPr>
      </w:pPr>
    </w:p>
    <w:p w:rsidR="00B070D8" w:rsidRPr="00BF5A7F" w:rsidRDefault="00B070D8" w:rsidP="00C113E5">
      <w:pPr>
        <w:spacing w:line="276" w:lineRule="auto"/>
        <w:ind w:firstLine="540"/>
        <w:jc w:val="both"/>
      </w:pPr>
      <w:r w:rsidRPr="00BF5A7F">
        <w:t xml:space="preserve">Възложителят публикува документацията за участие на своя “Профил на купувача” в интернет на адрес </w:t>
      </w:r>
      <w:hyperlink r:id="rId16" w:history="1">
        <w:r w:rsidR="00C113E5" w:rsidRPr="00C113E5">
          <w:rPr>
            <w:rStyle w:val="Hyperlink"/>
          </w:rPr>
          <w:t>http://www.iomt.bas.bg/профил-на-купувача</w:t>
        </w:r>
      </w:hyperlink>
      <w:r w:rsidR="00C113E5">
        <w:t xml:space="preserve">. </w:t>
      </w:r>
      <w:r w:rsidRPr="00BF5A7F">
        <w:t xml:space="preserve">Лицата могат да поискат писмено от възложителя разяснения по решението, обявлението и документацията за обществената поръчка до </w:t>
      </w:r>
      <w:r w:rsidRPr="00995265">
        <w:t>10</w:t>
      </w:r>
      <w:r w:rsidRPr="00BF5A7F">
        <w:t xml:space="preserve"> (</w:t>
      </w:r>
      <w:r w:rsidRPr="00995265">
        <w:t>десет</w:t>
      </w:r>
      <w:r w:rsidRPr="00BF5A7F">
        <w:t>) дни преди изтичане на срока за получаване на  офертите.</w:t>
      </w:r>
    </w:p>
    <w:p w:rsidR="00B070D8" w:rsidRPr="00BF5A7F" w:rsidRDefault="00B070D8" w:rsidP="007070C8">
      <w:pPr>
        <w:spacing w:line="276" w:lineRule="auto"/>
        <w:ind w:firstLine="540"/>
        <w:jc w:val="both"/>
      </w:pPr>
      <w:r w:rsidRPr="00BF5A7F">
        <w:t xml:space="preserve">Разясненията се публикуват в профила на купувача на Възложителя в </w:t>
      </w:r>
      <w:r w:rsidRPr="00995265">
        <w:t>4</w:t>
      </w:r>
      <w:r w:rsidRPr="00BF5A7F">
        <w:t>-дневен срок от получаване на искането. В разяснението не се посочва лицето, направило запитването.</w:t>
      </w:r>
    </w:p>
    <w:p w:rsidR="00B070D8" w:rsidRPr="00BF5A7F" w:rsidRDefault="00B070D8" w:rsidP="007070C8">
      <w:pPr>
        <w:spacing w:line="276" w:lineRule="auto"/>
        <w:ind w:firstLine="540"/>
        <w:jc w:val="both"/>
      </w:pPr>
      <w:r w:rsidRPr="00BF5A7F">
        <w:t>Разясненията по документацията за участие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само на Профила на купувача на Възложителя, посочен по-горе.</w:t>
      </w:r>
    </w:p>
    <w:p w:rsidR="00B070D8" w:rsidRPr="00BF5A7F" w:rsidRDefault="00B070D8" w:rsidP="007070C8">
      <w:pPr>
        <w:spacing w:line="276" w:lineRule="auto"/>
        <w:ind w:firstLine="540"/>
        <w:jc w:val="both"/>
      </w:pPr>
      <w:r w:rsidRPr="00BF5A7F">
        <w:t>Комуникацията между Възложителя и участниците в настоящата процедура се извършва в писмен вид.</w:t>
      </w:r>
    </w:p>
    <w:p w:rsidR="00B070D8" w:rsidRPr="00BF5A7F" w:rsidRDefault="00B070D8" w:rsidP="007070C8">
      <w:pPr>
        <w:spacing w:line="276" w:lineRule="auto"/>
        <w:ind w:firstLine="540"/>
        <w:jc w:val="both"/>
      </w:pPr>
      <w:r w:rsidRPr="00BF5A7F">
        <w:t xml:space="preserve">Участникът може да представя своите писма и уведомления в деловодството на Института по </w:t>
      </w:r>
      <w:r w:rsidR="00B81062">
        <w:t>оптически материали и технологии</w:t>
      </w:r>
      <w:r w:rsidRPr="00BF5A7F">
        <w:t xml:space="preserve"> "Акад. </w:t>
      </w:r>
      <w:r w:rsidR="00B81062">
        <w:t>Йордан Малиновски</w:t>
      </w:r>
      <w:r w:rsidRPr="00BF5A7F">
        <w:t>", със седалище и адрес на управление: гр. София, ул. "Акад. Георги Бончев",</w:t>
      </w:r>
      <w:r w:rsidR="00B81062">
        <w:t xml:space="preserve"> бл. 109</w:t>
      </w:r>
      <w:r w:rsidRPr="00BF5A7F">
        <w:t>.</w:t>
      </w:r>
    </w:p>
    <w:p w:rsidR="00B070D8" w:rsidRPr="00BF5A7F" w:rsidRDefault="00B070D8" w:rsidP="007070C8">
      <w:pPr>
        <w:spacing w:line="276" w:lineRule="auto"/>
        <w:ind w:firstLine="540"/>
        <w:jc w:val="both"/>
      </w:pPr>
      <w:r w:rsidRPr="00BF5A7F">
        <w:t>Обменът на информация между Възложителя и участника може да се извършва по един от следните начини:</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лично – срещу подпис.</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по пощата – чрез препоръчано писмо с обратна разписка, изпратено на посочения от участника адрес.</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чрез куриерска служба.</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по факс.</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по електронен път при условията и по реда на Закона за електронния документ и електронния подпис.</w:t>
      </w:r>
    </w:p>
    <w:p w:rsidR="00B070D8" w:rsidRPr="00BF5A7F" w:rsidRDefault="00B070D8" w:rsidP="007070C8">
      <w:pPr>
        <w:numPr>
          <w:ilvl w:val="0"/>
          <w:numId w:val="11"/>
        </w:numPr>
        <w:spacing w:line="276" w:lineRule="auto"/>
        <w:ind w:left="851" w:firstLine="540"/>
        <w:contextualSpacing/>
        <w:jc w:val="both"/>
        <w:rPr>
          <w:rFonts w:eastAsia="MS ??"/>
        </w:rPr>
      </w:pPr>
      <w:r w:rsidRPr="00BF5A7F">
        <w:rPr>
          <w:rFonts w:eastAsia="MS ??"/>
        </w:rPr>
        <w:t>чрез комбинация от тези средства.</w:t>
      </w:r>
    </w:p>
    <w:p w:rsidR="00B070D8" w:rsidRPr="00BF5A7F" w:rsidRDefault="00B070D8" w:rsidP="007070C8">
      <w:pPr>
        <w:spacing w:line="276" w:lineRule="auto"/>
        <w:ind w:firstLine="540"/>
        <w:jc w:val="both"/>
      </w:pPr>
    </w:p>
    <w:p w:rsidR="00B070D8" w:rsidRPr="00BF5A7F" w:rsidRDefault="00B070D8" w:rsidP="007070C8">
      <w:pPr>
        <w:spacing w:line="276" w:lineRule="auto"/>
        <w:ind w:firstLine="540"/>
        <w:jc w:val="both"/>
      </w:pPr>
      <w:r w:rsidRPr="00BF5A7F">
        <w:t>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rsidR="00B070D8" w:rsidRPr="00CA152A" w:rsidRDefault="00B070D8" w:rsidP="007070C8">
      <w:pPr>
        <w:keepNext/>
        <w:keepLines/>
        <w:spacing w:before="480" w:line="276" w:lineRule="auto"/>
        <w:ind w:firstLine="540"/>
        <w:jc w:val="both"/>
        <w:outlineLvl w:val="0"/>
        <w:rPr>
          <w:b/>
          <w:bCs/>
        </w:rPr>
      </w:pPr>
      <w:bookmarkStart w:id="114" w:name="_Toc457472835"/>
      <w:bookmarkStart w:id="115" w:name="_Toc3989885"/>
      <w:bookmarkStart w:id="116" w:name="_Toc3990240"/>
      <w:r w:rsidRPr="00CA152A">
        <w:rPr>
          <w:b/>
          <w:bCs/>
        </w:rPr>
        <w:t>РАЗДЕЛ ХІІ. ОБРАЗЦИ НА ДОКУМЕНТИ</w:t>
      </w:r>
      <w:bookmarkEnd w:id="114"/>
      <w:bookmarkEnd w:id="115"/>
      <w:bookmarkEnd w:id="116"/>
    </w:p>
    <w:p w:rsidR="00B070D8" w:rsidRPr="00BF5A7F" w:rsidRDefault="00B070D8" w:rsidP="007070C8">
      <w:pPr>
        <w:spacing w:line="276" w:lineRule="auto"/>
        <w:ind w:firstLine="540"/>
        <w:jc w:val="both"/>
      </w:pPr>
    </w:p>
    <w:p w:rsidR="00B070D8" w:rsidRPr="004C215D" w:rsidRDefault="00B070D8" w:rsidP="007070C8">
      <w:pPr>
        <w:spacing w:line="276" w:lineRule="auto"/>
        <w:ind w:firstLine="540"/>
        <w:jc w:val="both"/>
      </w:pPr>
    </w:p>
    <w:p w:rsidR="00857C8D" w:rsidRPr="003C7D1B" w:rsidRDefault="00857C8D" w:rsidP="007070C8">
      <w:pPr>
        <w:ind w:firstLine="540"/>
        <w:jc w:val="both"/>
      </w:pPr>
    </w:p>
    <w:sectPr w:rsidR="00857C8D" w:rsidRPr="003C7D1B" w:rsidSect="00053DEA">
      <w:headerReference w:type="default" r:id="rId17"/>
      <w:pgSz w:w="11906" w:h="16838" w:code="9"/>
      <w:pgMar w:top="1440" w:right="992" w:bottom="1440" w:left="992" w:header="142" w:footer="44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95298" w15:done="0"/>
  <w15:commentEx w15:paraId="57523495" w15:done="0"/>
  <w15:commentEx w15:paraId="07B82E25" w15:paraIdParent="57523495" w15:done="0"/>
  <w15:commentEx w15:paraId="3FCEF824" w15:done="0"/>
  <w15:commentEx w15:paraId="0212477C" w15:done="0"/>
  <w15:commentEx w15:paraId="124D21B0" w15:done="0"/>
  <w15:commentEx w15:paraId="341214EA" w15:done="0"/>
  <w15:commentEx w15:paraId="34B9136D" w15:done="0"/>
  <w15:commentEx w15:paraId="3B2AFBD6" w15:done="0"/>
  <w15:commentEx w15:paraId="7B0C2644" w15:done="0"/>
  <w15:commentEx w15:paraId="1C2503A1" w15:done="0"/>
  <w15:commentEx w15:paraId="5308F3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3A" w:rsidRDefault="00DD503A" w:rsidP="00C5450D">
      <w:r>
        <w:separator/>
      </w:r>
    </w:p>
  </w:endnote>
  <w:endnote w:type="continuationSeparator" w:id="0">
    <w:p w:rsidR="00DD503A" w:rsidRDefault="00DD503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3A" w:rsidRDefault="00DD503A" w:rsidP="00C5450D">
      <w:r>
        <w:separator/>
      </w:r>
    </w:p>
  </w:footnote>
  <w:footnote w:type="continuationSeparator" w:id="0">
    <w:p w:rsidR="00DD503A" w:rsidRDefault="00DD503A"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16" w:rsidRDefault="00024A16" w:rsidP="00024A16">
    <w:pPr>
      <w:jc w:val="both"/>
    </w:pPr>
    <w:r>
      <w:rPr>
        <w:noProof/>
        <w:lang w:val="en-US" w:eastAsia="en-US"/>
      </w:rPr>
      <w:drawing>
        <wp:inline distT="0" distB="0" distL="0" distR="0" wp14:anchorId="08086EE7" wp14:editId="46934093">
          <wp:extent cx="723900" cy="495300"/>
          <wp:effectExtent l="0" t="0" r="0" b="0"/>
          <wp:docPr id="3" name="Picture 3" descr="E:\EU-managment\website_TOCHA\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U-managment\website_TOCHA\EU-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inline>
      </w:drawing>
    </w:r>
    <w:r>
      <w:rPr>
        <w:noProof/>
      </w:rPr>
      <w:t xml:space="preserve">                   </w:t>
    </w:r>
    <w:r w:rsidRPr="004C2E73">
      <w:t xml:space="preserve"> </w:t>
    </w:r>
    <w:r>
      <w:t xml:space="preserve">   </w:t>
    </w:r>
    <w:r>
      <w:rPr>
        <w:noProof/>
        <w:lang w:val="en-US" w:eastAsia="en-US"/>
      </w:rPr>
      <w:drawing>
        <wp:inline distT="0" distB="0" distL="0" distR="0" wp14:anchorId="1A212B22" wp14:editId="05808821">
          <wp:extent cx="2354580" cy="350520"/>
          <wp:effectExtent l="0" t="0" r="7620" b="0"/>
          <wp:docPr id="2" name="Picture 2" descr="TOCH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HA pro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4580" cy="350520"/>
                  </a:xfrm>
                  <a:prstGeom prst="rect">
                    <a:avLst/>
                  </a:prstGeom>
                  <a:noFill/>
                  <a:ln>
                    <a:noFill/>
                  </a:ln>
                </pic:spPr>
              </pic:pic>
            </a:graphicData>
          </a:graphic>
        </wp:inline>
      </w:drawing>
    </w:r>
    <w:r>
      <w:t xml:space="preserve">                             </w:t>
    </w:r>
    <w:r>
      <w:rPr>
        <w:noProof/>
        <w:lang w:val="en-US" w:eastAsia="en-US"/>
      </w:rPr>
      <w:drawing>
        <wp:inline distT="0" distB="0" distL="0" distR="0" wp14:anchorId="2EF3061F" wp14:editId="3C3EAC94">
          <wp:extent cx="868680" cy="533400"/>
          <wp:effectExtent l="0" t="0" r="7620" b="0"/>
          <wp:docPr id="1" name="Picture 1" descr="E:\EU-managment\website_TOCHA\Horizon20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U-managment\website_TOCHA\Horizon2020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8680" cy="533400"/>
                  </a:xfrm>
                  <a:prstGeom prst="rect">
                    <a:avLst/>
                  </a:prstGeom>
                  <a:noFill/>
                  <a:ln>
                    <a:noFill/>
                  </a:ln>
                </pic:spPr>
              </pic:pic>
            </a:graphicData>
          </a:graphic>
        </wp:inline>
      </w:drawing>
    </w:r>
  </w:p>
  <w:p w:rsidR="00077031" w:rsidRDefault="00077031" w:rsidP="003E5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1969D4"/>
    <w:multiLevelType w:val="hybridMultilevel"/>
    <w:tmpl w:val="05D03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A57815"/>
    <w:multiLevelType w:val="hybridMultilevel"/>
    <w:tmpl w:val="41FCC9D6"/>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09BB07AB"/>
    <w:multiLevelType w:val="hybridMultilevel"/>
    <w:tmpl w:val="B608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64143"/>
    <w:multiLevelType w:val="hybridMultilevel"/>
    <w:tmpl w:val="B2BE9860"/>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5">
    <w:nsid w:val="0A2D21A8"/>
    <w:multiLevelType w:val="hybridMultilevel"/>
    <w:tmpl w:val="C198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90541"/>
    <w:multiLevelType w:val="hybridMultilevel"/>
    <w:tmpl w:val="8F6E0ED0"/>
    <w:lvl w:ilvl="0" w:tplc="B17A30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B6B9A"/>
    <w:multiLevelType w:val="hybridMultilevel"/>
    <w:tmpl w:val="8140F960"/>
    <w:lvl w:ilvl="0" w:tplc="0C9AD554">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8">
    <w:nsid w:val="163939FA"/>
    <w:multiLevelType w:val="hybridMultilevel"/>
    <w:tmpl w:val="7958BAFE"/>
    <w:lvl w:ilvl="0" w:tplc="E7623D7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B315932"/>
    <w:multiLevelType w:val="hybridMultilevel"/>
    <w:tmpl w:val="4FF623BE"/>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10">
    <w:nsid w:val="21903A04"/>
    <w:multiLevelType w:val="hybridMultilevel"/>
    <w:tmpl w:val="D9A8B78C"/>
    <w:lvl w:ilvl="0" w:tplc="04020001">
      <w:start w:val="1"/>
      <w:numFmt w:val="bullet"/>
      <w:lvlText w:val=""/>
      <w:lvlJc w:val="left"/>
      <w:pPr>
        <w:ind w:left="720" w:hanging="360"/>
      </w:pPr>
      <w:rPr>
        <w:rFonts w:ascii="Symbol" w:hAnsi="Symbol" w:hint="default"/>
      </w:rPr>
    </w:lvl>
    <w:lvl w:ilvl="1" w:tplc="1E36499C">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502757E"/>
    <w:multiLevelType w:val="hybridMultilevel"/>
    <w:tmpl w:val="47725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F5326"/>
    <w:multiLevelType w:val="hybridMultilevel"/>
    <w:tmpl w:val="3550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33F6F"/>
    <w:multiLevelType w:val="hybridMultilevel"/>
    <w:tmpl w:val="27323616"/>
    <w:lvl w:ilvl="0" w:tplc="027C8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824F2"/>
    <w:multiLevelType w:val="multilevel"/>
    <w:tmpl w:val="B08EBF2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1A827C5"/>
    <w:multiLevelType w:val="hybridMultilevel"/>
    <w:tmpl w:val="14DED07C"/>
    <w:lvl w:ilvl="0" w:tplc="D11A6E3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B253854"/>
    <w:multiLevelType w:val="hybridMultilevel"/>
    <w:tmpl w:val="73C6004E"/>
    <w:lvl w:ilvl="0" w:tplc="0402000D">
      <w:start w:val="1"/>
      <w:numFmt w:val="bullet"/>
      <w:lvlText w:val=""/>
      <w:lvlJc w:val="left"/>
      <w:pPr>
        <w:ind w:left="450" w:hanging="360"/>
      </w:pPr>
      <w:rPr>
        <w:rFonts w:ascii="Wingdings" w:hAnsi="Wingdings" w:hint="default"/>
      </w:rPr>
    </w:lvl>
    <w:lvl w:ilvl="1" w:tplc="04020003" w:tentative="1">
      <w:start w:val="1"/>
      <w:numFmt w:val="bullet"/>
      <w:lvlText w:val="o"/>
      <w:lvlJc w:val="left"/>
      <w:pPr>
        <w:ind w:left="1170" w:hanging="360"/>
      </w:pPr>
      <w:rPr>
        <w:rFonts w:ascii="Courier New" w:hAnsi="Courier New" w:cs="Courier New" w:hint="default"/>
      </w:rPr>
    </w:lvl>
    <w:lvl w:ilvl="2" w:tplc="04020005" w:tentative="1">
      <w:start w:val="1"/>
      <w:numFmt w:val="bullet"/>
      <w:lvlText w:val=""/>
      <w:lvlJc w:val="left"/>
      <w:pPr>
        <w:ind w:left="1890" w:hanging="360"/>
      </w:pPr>
      <w:rPr>
        <w:rFonts w:ascii="Wingdings" w:hAnsi="Wingdings" w:hint="default"/>
      </w:rPr>
    </w:lvl>
    <w:lvl w:ilvl="3" w:tplc="04020001" w:tentative="1">
      <w:start w:val="1"/>
      <w:numFmt w:val="bullet"/>
      <w:lvlText w:val=""/>
      <w:lvlJc w:val="left"/>
      <w:pPr>
        <w:ind w:left="2610" w:hanging="360"/>
      </w:pPr>
      <w:rPr>
        <w:rFonts w:ascii="Symbol" w:hAnsi="Symbol" w:hint="default"/>
      </w:rPr>
    </w:lvl>
    <w:lvl w:ilvl="4" w:tplc="04020003" w:tentative="1">
      <w:start w:val="1"/>
      <w:numFmt w:val="bullet"/>
      <w:lvlText w:val="o"/>
      <w:lvlJc w:val="left"/>
      <w:pPr>
        <w:ind w:left="3330" w:hanging="360"/>
      </w:pPr>
      <w:rPr>
        <w:rFonts w:ascii="Courier New" w:hAnsi="Courier New" w:cs="Courier New" w:hint="default"/>
      </w:rPr>
    </w:lvl>
    <w:lvl w:ilvl="5" w:tplc="04020005" w:tentative="1">
      <w:start w:val="1"/>
      <w:numFmt w:val="bullet"/>
      <w:lvlText w:val=""/>
      <w:lvlJc w:val="left"/>
      <w:pPr>
        <w:ind w:left="4050" w:hanging="360"/>
      </w:pPr>
      <w:rPr>
        <w:rFonts w:ascii="Wingdings" w:hAnsi="Wingdings" w:hint="default"/>
      </w:rPr>
    </w:lvl>
    <w:lvl w:ilvl="6" w:tplc="04020001" w:tentative="1">
      <w:start w:val="1"/>
      <w:numFmt w:val="bullet"/>
      <w:lvlText w:val=""/>
      <w:lvlJc w:val="left"/>
      <w:pPr>
        <w:ind w:left="4770" w:hanging="360"/>
      </w:pPr>
      <w:rPr>
        <w:rFonts w:ascii="Symbol" w:hAnsi="Symbol" w:hint="default"/>
      </w:rPr>
    </w:lvl>
    <w:lvl w:ilvl="7" w:tplc="04020003" w:tentative="1">
      <w:start w:val="1"/>
      <w:numFmt w:val="bullet"/>
      <w:lvlText w:val="o"/>
      <w:lvlJc w:val="left"/>
      <w:pPr>
        <w:ind w:left="5490" w:hanging="360"/>
      </w:pPr>
      <w:rPr>
        <w:rFonts w:ascii="Courier New" w:hAnsi="Courier New" w:cs="Courier New" w:hint="default"/>
      </w:rPr>
    </w:lvl>
    <w:lvl w:ilvl="8" w:tplc="04020005" w:tentative="1">
      <w:start w:val="1"/>
      <w:numFmt w:val="bullet"/>
      <w:lvlText w:val=""/>
      <w:lvlJc w:val="left"/>
      <w:pPr>
        <w:ind w:left="6210" w:hanging="360"/>
      </w:pPr>
      <w:rPr>
        <w:rFonts w:ascii="Wingdings" w:hAnsi="Wingdings" w:hint="default"/>
      </w:rPr>
    </w:lvl>
  </w:abstractNum>
  <w:abstractNum w:abstractNumId="17">
    <w:nsid w:val="3E5048AD"/>
    <w:multiLevelType w:val="hybridMultilevel"/>
    <w:tmpl w:val="AE30D7BE"/>
    <w:lvl w:ilvl="0" w:tplc="F4C23F02">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2586CA6"/>
    <w:multiLevelType w:val="hybridMultilevel"/>
    <w:tmpl w:val="31866C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6032779"/>
    <w:multiLevelType w:val="hybridMultilevel"/>
    <w:tmpl w:val="A39AFEC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62D5CF8"/>
    <w:multiLevelType w:val="hybridMultilevel"/>
    <w:tmpl w:val="A3B01F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D3F25"/>
    <w:multiLevelType w:val="hybridMultilevel"/>
    <w:tmpl w:val="799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81F85"/>
    <w:multiLevelType w:val="hybridMultilevel"/>
    <w:tmpl w:val="ACA84702"/>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23">
    <w:nsid w:val="49214254"/>
    <w:multiLevelType w:val="hybridMultilevel"/>
    <w:tmpl w:val="A4C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854CAF"/>
    <w:multiLevelType w:val="hybridMultilevel"/>
    <w:tmpl w:val="4778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87D67"/>
    <w:multiLevelType w:val="hybridMultilevel"/>
    <w:tmpl w:val="DB0A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85D78"/>
    <w:multiLevelType w:val="hybridMultilevel"/>
    <w:tmpl w:val="FA148034"/>
    <w:lvl w:ilvl="0" w:tplc="04020011">
      <w:start w:val="1"/>
      <w:numFmt w:val="decimal"/>
      <w:lvlText w:val="%1)"/>
      <w:lvlJc w:val="left"/>
      <w:pPr>
        <w:ind w:left="1429" w:hanging="360"/>
      </w:pPr>
    </w:lvl>
    <w:lvl w:ilvl="1" w:tplc="04020001">
      <w:start w:val="1"/>
      <w:numFmt w:val="bullet"/>
      <w:lvlText w:val=""/>
      <w:lvlJc w:val="left"/>
      <w:pPr>
        <w:ind w:left="2149" w:hanging="360"/>
      </w:pPr>
      <w:rPr>
        <w:rFonts w:ascii="Symbol" w:hAnsi="Symbol" w:hint="default"/>
      </w:rPr>
    </w:lvl>
    <w:lvl w:ilvl="2" w:tplc="04020001">
      <w:start w:val="1"/>
      <w:numFmt w:val="bullet"/>
      <w:lvlText w:val=""/>
      <w:lvlJc w:val="left"/>
      <w:pPr>
        <w:ind w:left="3049" w:hanging="360"/>
      </w:pPr>
      <w:rPr>
        <w:rFonts w:ascii="Symbol" w:hAnsi="Symbol" w:hint="default"/>
      </w:r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27">
    <w:nsid w:val="5EF0769C"/>
    <w:multiLevelType w:val="multilevel"/>
    <w:tmpl w:val="0DE08E5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454463C"/>
    <w:multiLevelType w:val="hybridMultilevel"/>
    <w:tmpl w:val="5810E754"/>
    <w:lvl w:ilvl="0" w:tplc="E99A4C72">
      <w:start w:val="1"/>
      <w:numFmt w:val="bullet"/>
      <w:lvlText w:val=""/>
      <w:lvlJc w:val="left"/>
      <w:pPr>
        <w:ind w:left="720" w:hanging="360"/>
      </w:pPr>
      <w:rPr>
        <w:rFonts w:ascii="Symbol" w:hAnsi="Symbol" w:hint="default"/>
        <w:sz w:val="24"/>
        <w:szCs w:val="24"/>
      </w:rPr>
    </w:lvl>
    <w:lvl w:ilvl="1" w:tplc="8500C426">
      <w:start w:val="3"/>
      <w:numFmt w:val="bullet"/>
      <w:lvlText w:val="•"/>
      <w:lvlJc w:val="left"/>
      <w:pPr>
        <w:ind w:left="1440" w:hanging="360"/>
      </w:pPr>
      <w:rPr>
        <w:rFonts w:ascii="Times New Roman" w:eastAsia="Times New Roman" w:hAnsi="Times New Roma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26AAC"/>
    <w:multiLevelType w:val="hybridMultilevel"/>
    <w:tmpl w:val="45BCCC10"/>
    <w:lvl w:ilvl="0" w:tplc="BF5264FA">
      <w:start w:val="1"/>
      <w:numFmt w:val="decimal"/>
      <w:lvlText w:val="3.%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nsid w:val="672E2894"/>
    <w:multiLevelType w:val="hybridMultilevel"/>
    <w:tmpl w:val="143A435E"/>
    <w:lvl w:ilvl="0" w:tplc="BBDEAC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B5F07"/>
    <w:multiLevelType w:val="hybridMultilevel"/>
    <w:tmpl w:val="9A8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3509F"/>
    <w:multiLevelType w:val="hybridMultilevel"/>
    <w:tmpl w:val="78885F8A"/>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33">
    <w:nsid w:val="79EC1E6A"/>
    <w:multiLevelType w:val="multilevel"/>
    <w:tmpl w:val="F6F0F2E8"/>
    <w:lvl w:ilvl="0">
      <w:start w:val="1"/>
      <w:numFmt w:val="decimal"/>
      <w:lvlText w:val="%1."/>
      <w:lvlJc w:val="left"/>
      <w:pPr>
        <w:ind w:left="644"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34" w:hanging="432"/>
      </w:pPr>
      <w:rPr>
        <w:rFonts w:ascii="Times New Roman" w:hAnsi="Times New Roman" w:cs="Times New Roman" w:hint="default"/>
        <w:b/>
        <w:sz w:val="22"/>
        <w:szCs w:val="22"/>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17"/>
  </w:num>
  <w:num w:numId="2">
    <w:abstractNumId w:val="1"/>
  </w:num>
  <w:num w:numId="3">
    <w:abstractNumId w:val="31"/>
  </w:num>
  <w:num w:numId="4">
    <w:abstractNumId w:val="24"/>
  </w:num>
  <w:num w:numId="5">
    <w:abstractNumId w:val="15"/>
  </w:num>
  <w:num w:numId="6">
    <w:abstractNumId w:val="2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num>
  <w:num w:numId="10">
    <w:abstractNumId w:val="29"/>
  </w:num>
  <w:num w:numId="11">
    <w:abstractNumId w:val="18"/>
  </w:num>
  <w:num w:numId="12">
    <w:abstractNumId w:val="27"/>
  </w:num>
  <w:num w:numId="13">
    <w:abstractNumId w:val="30"/>
  </w:num>
  <w:num w:numId="14">
    <w:abstractNumId w:val="25"/>
  </w:num>
  <w:num w:numId="15">
    <w:abstractNumId w:val="13"/>
  </w:num>
  <w:num w:numId="16">
    <w:abstractNumId w:val="6"/>
  </w:num>
  <w:num w:numId="17">
    <w:abstractNumId w:val="0"/>
  </w:num>
  <w:num w:numId="18">
    <w:abstractNumId w:val="5"/>
  </w:num>
  <w:num w:numId="19">
    <w:abstractNumId w:val="3"/>
  </w:num>
  <w:num w:numId="20">
    <w:abstractNumId w:val="21"/>
  </w:num>
  <w:num w:numId="21">
    <w:abstractNumId w:val="2"/>
  </w:num>
  <w:num w:numId="22">
    <w:abstractNumId w:val="19"/>
  </w:num>
  <w:num w:numId="23">
    <w:abstractNumId w:val="32"/>
  </w:num>
  <w:num w:numId="24">
    <w:abstractNumId w:val="22"/>
  </w:num>
  <w:num w:numId="25">
    <w:abstractNumId w:va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num>
  <w:num w:numId="32">
    <w:abstractNumId w:val="10"/>
  </w:num>
  <w:num w:numId="33">
    <w:abstractNumId w:val="23"/>
  </w:num>
  <w:num w:numId="34">
    <w:abstractNumId w:val="12"/>
  </w:num>
  <w:num w:numId="35">
    <w:abstractNumId w:val="26"/>
  </w:num>
  <w:num w:numId="3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kolov">
    <w15:presenceInfo w15:providerId="None" w15:userId="anikol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93E"/>
    <w:rsid w:val="00006232"/>
    <w:rsid w:val="00007302"/>
    <w:rsid w:val="000124D5"/>
    <w:rsid w:val="00024A16"/>
    <w:rsid w:val="000470DF"/>
    <w:rsid w:val="00047DDE"/>
    <w:rsid w:val="00052B27"/>
    <w:rsid w:val="00053DEA"/>
    <w:rsid w:val="000541D4"/>
    <w:rsid w:val="00055C08"/>
    <w:rsid w:val="00071AD0"/>
    <w:rsid w:val="00077031"/>
    <w:rsid w:val="00090DCA"/>
    <w:rsid w:val="00095788"/>
    <w:rsid w:val="000A57B3"/>
    <w:rsid w:val="000B211D"/>
    <w:rsid w:val="000B7E9B"/>
    <w:rsid w:val="000C3E05"/>
    <w:rsid w:val="000D7F23"/>
    <w:rsid w:val="000F1A76"/>
    <w:rsid w:val="00115361"/>
    <w:rsid w:val="00123C6B"/>
    <w:rsid w:val="00125EEB"/>
    <w:rsid w:val="00126CD1"/>
    <w:rsid w:val="00127AB7"/>
    <w:rsid w:val="00136EC3"/>
    <w:rsid w:val="001516E6"/>
    <w:rsid w:val="0016198D"/>
    <w:rsid w:val="001641D7"/>
    <w:rsid w:val="00164494"/>
    <w:rsid w:val="001728DB"/>
    <w:rsid w:val="0018687C"/>
    <w:rsid w:val="0019317E"/>
    <w:rsid w:val="001A6368"/>
    <w:rsid w:val="001C3837"/>
    <w:rsid w:val="001E2FA2"/>
    <w:rsid w:val="001F499F"/>
    <w:rsid w:val="00212F49"/>
    <w:rsid w:val="002217A2"/>
    <w:rsid w:val="00226F74"/>
    <w:rsid w:val="00233771"/>
    <w:rsid w:val="00235155"/>
    <w:rsid w:val="00237108"/>
    <w:rsid w:val="00264925"/>
    <w:rsid w:val="002677A8"/>
    <w:rsid w:val="00281C22"/>
    <w:rsid w:val="00285A16"/>
    <w:rsid w:val="00286FBA"/>
    <w:rsid w:val="002A0379"/>
    <w:rsid w:val="002C5190"/>
    <w:rsid w:val="002C5A74"/>
    <w:rsid w:val="002D2494"/>
    <w:rsid w:val="002D3A4A"/>
    <w:rsid w:val="002D74E4"/>
    <w:rsid w:val="002E5ED7"/>
    <w:rsid w:val="002F26ED"/>
    <w:rsid w:val="002F5A4A"/>
    <w:rsid w:val="0030292E"/>
    <w:rsid w:val="00302EC6"/>
    <w:rsid w:val="00326FEA"/>
    <w:rsid w:val="003429B8"/>
    <w:rsid w:val="0035085D"/>
    <w:rsid w:val="00350E41"/>
    <w:rsid w:val="0036093C"/>
    <w:rsid w:val="00360B2B"/>
    <w:rsid w:val="0036364A"/>
    <w:rsid w:val="00365286"/>
    <w:rsid w:val="00382CF8"/>
    <w:rsid w:val="00385CD8"/>
    <w:rsid w:val="00391B2C"/>
    <w:rsid w:val="00391CC6"/>
    <w:rsid w:val="003940CB"/>
    <w:rsid w:val="003A0D8C"/>
    <w:rsid w:val="003B29DE"/>
    <w:rsid w:val="003C432F"/>
    <w:rsid w:val="003C7D1B"/>
    <w:rsid w:val="003E52CC"/>
    <w:rsid w:val="003F1026"/>
    <w:rsid w:val="004031DC"/>
    <w:rsid w:val="0041105A"/>
    <w:rsid w:val="004151D4"/>
    <w:rsid w:val="0043033D"/>
    <w:rsid w:val="00437205"/>
    <w:rsid w:val="00467B6D"/>
    <w:rsid w:val="00481C8B"/>
    <w:rsid w:val="004A5300"/>
    <w:rsid w:val="004B4F17"/>
    <w:rsid w:val="004C7BF5"/>
    <w:rsid w:val="004D597A"/>
    <w:rsid w:val="004E09B2"/>
    <w:rsid w:val="004E514C"/>
    <w:rsid w:val="0056687F"/>
    <w:rsid w:val="00575600"/>
    <w:rsid w:val="005827E8"/>
    <w:rsid w:val="00584438"/>
    <w:rsid w:val="00587334"/>
    <w:rsid w:val="005973C4"/>
    <w:rsid w:val="005A0D8C"/>
    <w:rsid w:val="005D4C1F"/>
    <w:rsid w:val="005F66DF"/>
    <w:rsid w:val="00611335"/>
    <w:rsid w:val="00621F39"/>
    <w:rsid w:val="0063362B"/>
    <w:rsid w:val="00635C91"/>
    <w:rsid w:val="00646B22"/>
    <w:rsid w:val="00647F45"/>
    <w:rsid w:val="0065193E"/>
    <w:rsid w:val="00653A43"/>
    <w:rsid w:val="00675BD6"/>
    <w:rsid w:val="00677BD8"/>
    <w:rsid w:val="00683697"/>
    <w:rsid w:val="006B7C00"/>
    <w:rsid w:val="006C0C36"/>
    <w:rsid w:val="006C2956"/>
    <w:rsid w:val="006D79DD"/>
    <w:rsid w:val="006E3F48"/>
    <w:rsid w:val="006F6EE1"/>
    <w:rsid w:val="00703A39"/>
    <w:rsid w:val="0070476E"/>
    <w:rsid w:val="00706589"/>
    <w:rsid w:val="007070C8"/>
    <w:rsid w:val="00713782"/>
    <w:rsid w:val="00725FF0"/>
    <w:rsid w:val="0073207B"/>
    <w:rsid w:val="00737897"/>
    <w:rsid w:val="00760ED5"/>
    <w:rsid w:val="00765B93"/>
    <w:rsid w:val="007739DF"/>
    <w:rsid w:val="007940B5"/>
    <w:rsid w:val="007A5645"/>
    <w:rsid w:val="007D5045"/>
    <w:rsid w:val="007E0167"/>
    <w:rsid w:val="00813DA2"/>
    <w:rsid w:val="00813E7F"/>
    <w:rsid w:val="008156E7"/>
    <w:rsid w:val="00817503"/>
    <w:rsid w:val="00824A12"/>
    <w:rsid w:val="00834FF6"/>
    <w:rsid w:val="0084651C"/>
    <w:rsid w:val="00851077"/>
    <w:rsid w:val="008541B8"/>
    <w:rsid w:val="00854DA3"/>
    <w:rsid w:val="00855B75"/>
    <w:rsid w:val="00857C8D"/>
    <w:rsid w:val="00861047"/>
    <w:rsid w:val="008651F9"/>
    <w:rsid w:val="00867F40"/>
    <w:rsid w:val="00871C94"/>
    <w:rsid w:val="008761AA"/>
    <w:rsid w:val="00880215"/>
    <w:rsid w:val="00880D01"/>
    <w:rsid w:val="008A1949"/>
    <w:rsid w:val="008A2D25"/>
    <w:rsid w:val="008A2DC5"/>
    <w:rsid w:val="008A2F6E"/>
    <w:rsid w:val="008B046F"/>
    <w:rsid w:val="008B170A"/>
    <w:rsid w:val="008B2B9E"/>
    <w:rsid w:val="008E15A4"/>
    <w:rsid w:val="00904D36"/>
    <w:rsid w:val="00904EDA"/>
    <w:rsid w:val="009179FE"/>
    <w:rsid w:val="00934D47"/>
    <w:rsid w:val="00942DCB"/>
    <w:rsid w:val="009447BD"/>
    <w:rsid w:val="009448E7"/>
    <w:rsid w:val="00954B1F"/>
    <w:rsid w:val="00957235"/>
    <w:rsid w:val="009637C0"/>
    <w:rsid w:val="009815CC"/>
    <w:rsid w:val="00984B3E"/>
    <w:rsid w:val="009859D6"/>
    <w:rsid w:val="00990F5A"/>
    <w:rsid w:val="009A54D0"/>
    <w:rsid w:val="009D773C"/>
    <w:rsid w:val="009F06F5"/>
    <w:rsid w:val="00A00C19"/>
    <w:rsid w:val="00A3108F"/>
    <w:rsid w:val="00A42251"/>
    <w:rsid w:val="00A45599"/>
    <w:rsid w:val="00A7052A"/>
    <w:rsid w:val="00A70F66"/>
    <w:rsid w:val="00AA57C1"/>
    <w:rsid w:val="00AD12BE"/>
    <w:rsid w:val="00AE1242"/>
    <w:rsid w:val="00B026F2"/>
    <w:rsid w:val="00B040F5"/>
    <w:rsid w:val="00B070D8"/>
    <w:rsid w:val="00B1214B"/>
    <w:rsid w:val="00B126D8"/>
    <w:rsid w:val="00B236F5"/>
    <w:rsid w:val="00B30287"/>
    <w:rsid w:val="00B3386C"/>
    <w:rsid w:val="00B575D3"/>
    <w:rsid w:val="00B6096B"/>
    <w:rsid w:val="00B613B6"/>
    <w:rsid w:val="00B627C4"/>
    <w:rsid w:val="00B76AAF"/>
    <w:rsid w:val="00B81062"/>
    <w:rsid w:val="00B849A5"/>
    <w:rsid w:val="00B91E61"/>
    <w:rsid w:val="00B92B58"/>
    <w:rsid w:val="00B94CD8"/>
    <w:rsid w:val="00BA1434"/>
    <w:rsid w:val="00BB1824"/>
    <w:rsid w:val="00BB1CB6"/>
    <w:rsid w:val="00BE0EB5"/>
    <w:rsid w:val="00BF162C"/>
    <w:rsid w:val="00BF23D0"/>
    <w:rsid w:val="00C02F12"/>
    <w:rsid w:val="00C03E92"/>
    <w:rsid w:val="00C113E5"/>
    <w:rsid w:val="00C12ECE"/>
    <w:rsid w:val="00C158BE"/>
    <w:rsid w:val="00C50CA4"/>
    <w:rsid w:val="00C527CF"/>
    <w:rsid w:val="00C5450D"/>
    <w:rsid w:val="00C55FBD"/>
    <w:rsid w:val="00C60437"/>
    <w:rsid w:val="00C65581"/>
    <w:rsid w:val="00C85FEB"/>
    <w:rsid w:val="00C94A7A"/>
    <w:rsid w:val="00CB3CCF"/>
    <w:rsid w:val="00CC2E7E"/>
    <w:rsid w:val="00CC3043"/>
    <w:rsid w:val="00CC493B"/>
    <w:rsid w:val="00CC691A"/>
    <w:rsid w:val="00CD2A1F"/>
    <w:rsid w:val="00CD5818"/>
    <w:rsid w:val="00CE5A2D"/>
    <w:rsid w:val="00CF78B8"/>
    <w:rsid w:val="00D04A01"/>
    <w:rsid w:val="00D21146"/>
    <w:rsid w:val="00D21B89"/>
    <w:rsid w:val="00D22099"/>
    <w:rsid w:val="00D233BC"/>
    <w:rsid w:val="00D34620"/>
    <w:rsid w:val="00D3779D"/>
    <w:rsid w:val="00D37D04"/>
    <w:rsid w:val="00D476D8"/>
    <w:rsid w:val="00D52766"/>
    <w:rsid w:val="00D52D4B"/>
    <w:rsid w:val="00D768CE"/>
    <w:rsid w:val="00D934DB"/>
    <w:rsid w:val="00DA57E9"/>
    <w:rsid w:val="00DB0406"/>
    <w:rsid w:val="00DD503A"/>
    <w:rsid w:val="00DE08B1"/>
    <w:rsid w:val="00DE41C0"/>
    <w:rsid w:val="00DE5D68"/>
    <w:rsid w:val="00DE7061"/>
    <w:rsid w:val="00DF7794"/>
    <w:rsid w:val="00E12880"/>
    <w:rsid w:val="00E36B93"/>
    <w:rsid w:val="00E63A36"/>
    <w:rsid w:val="00E665A5"/>
    <w:rsid w:val="00E7072C"/>
    <w:rsid w:val="00EA41A0"/>
    <w:rsid w:val="00EB038A"/>
    <w:rsid w:val="00EB398D"/>
    <w:rsid w:val="00EB4935"/>
    <w:rsid w:val="00ED45E2"/>
    <w:rsid w:val="00EE5E43"/>
    <w:rsid w:val="00EF0516"/>
    <w:rsid w:val="00F22D86"/>
    <w:rsid w:val="00F3743F"/>
    <w:rsid w:val="00F41CD1"/>
    <w:rsid w:val="00F5392E"/>
    <w:rsid w:val="00F578B3"/>
    <w:rsid w:val="00F63A70"/>
    <w:rsid w:val="00F72319"/>
    <w:rsid w:val="00F73C7A"/>
    <w:rsid w:val="00F75C55"/>
    <w:rsid w:val="00F8254B"/>
    <w:rsid w:val="00F970D6"/>
    <w:rsid w:val="00FD033C"/>
    <w:rsid w:val="00FD3359"/>
    <w:rsid w:val="00FD75E1"/>
    <w:rsid w:val="00FF4B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BC"/>
    <w:rPr>
      <w:sz w:val="24"/>
      <w:szCs w:val="24"/>
    </w:rPr>
  </w:style>
  <w:style w:type="paragraph" w:styleId="Heading1">
    <w:name w:val="heading 1"/>
    <w:basedOn w:val="Normal"/>
    <w:next w:val="Normal"/>
    <w:link w:val="Heading1Char"/>
    <w:uiPriority w:val="9"/>
    <w:qFormat/>
    <w:rsid w:val="00D34620"/>
    <w:pPr>
      <w:keepNext/>
      <w:keepLines/>
      <w:spacing w:before="480"/>
      <w:outlineLvl w:val="0"/>
    </w:pPr>
    <w:rPr>
      <w:rFonts w:ascii="Calibri Light" w:hAnsi="Calibri Light"/>
      <w:b/>
      <w:bCs/>
      <w:color w:val="2E74B5"/>
      <w:sz w:val="28"/>
      <w:szCs w:val="28"/>
      <w:lang w:val="en-US"/>
    </w:rPr>
  </w:style>
  <w:style w:type="paragraph" w:styleId="Heading2">
    <w:name w:val="heading 2"/>
    <w:basedOn w:val="Normal"/>
    <w:next w:val="Normal"/>
    <w:link w:val="Heading2Char"/>
    <w:semiHidden/>
    <w:unhideWhenUsed/>
    <w:qFormat/>
    <w:rsid w:val="00CD2A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paragraph" w:customStyle="1" w:styleId="11">
    <w:name w:val="Заглавие 11"/>
    <w:basedOn w:val="Normal"/>
    <w:next w:val="Normal"/>
    <w:uiPriority w:val="9"/>
    <w:qFormat/>
    <w:rsid w:val="00D34620"/>
    <w:pPr>
      <w:keepNext/>
      <w:keepLines/>
      <w:spacing w:before="480" w:line="276" w:lineRule="auto"/>
      <w:outlineLvl w:val="0"/>
    </w:pPr>
    <w:rPr>
      <w:rFonts w:ascii="Calibri Light" w:hAnsi="Calibri Light"/>
      <w:b/>
      <w:bCs/>
      <w:color w:val="2E74B5"/>
      <w:sz w:val="28"/>
      <w:szCs w:val="28"/>
      <w:lang w:val="en-US" w:eastAsia="en-US"/>
    </w:rPr>
  </w:style>
  <w:style w:type="numbering" w:customStyle="1" w:styleId="1">
    <w:name w:val="Без списък1"/>
    <w:next w:val="NoList"/>
    <w:uiPriority w:val="99"/>
    <w:semiHidden/>
    <w:unhideWhenUsed/>
    <w:rsid w:val="00D34620"/>
  </w:style>
  <w:style w:type="character" w:styleId="CommentReference">
    <w:name w:val="annotation reference"/>
    <w:rsid w:val="00D34620"/>
    <w:rPr>
      <w:sz w:val="16"/>
      <w:szCs w:val="16"/>
    </w:rPr>
  </w:style>
  <w:style w:type="paragraph" w:styleId="CommentText">
    <w:name w:val="annotation text"/>
    <w:basedOn w:val="Normal"/>
    <w:link w:val="CommentTextChar"/>
    <w:rsid w:val="00D34620"/>
    <w:pPr>
      <w:suppressAutoHyphens/>
    </w:pPr>
    <w:rPr>
      <w:sz w:val="20"/>
      <w:szCs w:val="20"/>
      <w:lang w:eastAsia="ar-SA"/>
    </w:rPr>
  </w:style>
  <w:style w:type="character" w:customStyle="1" w:styleId="CommentTextChar">
    <w:name w:val="Comment Text Char"/>
    <w:basedOn w:val="DefaultParagraphFont"/>
    <w:link w:val="CommentText"/>
    <w:rsid w:val="00D34620"/>
    <w:rPr>
      <w:lang w:eastAsia="ar-SA"/>
    </w:rPr>
  </w:style>
  <w:style w:type="character" w:customStyle="1" w:styleId="Heading1Char">
    <w:name w:val="Heading 1 Char"/>
    <w:basedOn w:val="DefaultParagraphFont"/>
    <w:link w:val="Heading1"/>
    <w:uiPriority w:val="9"/>
    <w:rsid w:val="00D34620"/>
    <w:rPr>
      <w:rFonts w:ascii="Calibri Light" w:eastAsia="Times New Roman" w:hAnsi="Calibri Light" w:cs="Times New Roman"/>
      <w:b/>
      <w:bCs/>
      <w:color w:val="2E74B5"/>
      <w:sz w:val="28"/>
      <w:szCs w:val="28"/>
      <w:lang w:val="en-US"/>
    </w:rPr>
  </w:style>
  <w:style w:type="paragraph" w:styleId="ListParagraph">
    <w:name w:val="List Paragraph"/>
    <w:aliases w:val="List1,ПАРАГРАФ"/>
    <w:basedOn w:val="Normal"/>
    <w:link w:val="ListParagraphChar1"/>
    <w:uiPriority w:val="34"/>
    <w:qFormat/>
    <w:rsid w:val="00D34620"/>
    <w:pPr>
      <w:spacing w:after="200" w:line="276" w:lineRule="auto"/>
      <w:ind w:left="720"/>
      <w:contextualSpacing/>
    </w:pPr>
    <w:rPr>
      <w:rFonts w:ascii="Calibri" w:eastAsia="Calibri" w:hAnsi="Calibri"/>
      <w:sz w:val="22"/>
      <w:szCs w:val="22"/>
      <w:lang w:val="en-US" w:eastAsia="en-US"/>
    </w:rPr>
  </w:style>
  <w:style w:type="character" w:customStyle="1" w:styleId="110">
    <w:name w:val="Заглавие 1 Знак1"/>
    <w:basedOn w:val="DefaultParagraphFont"/>
    <w:rsid w:val="00D3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D2A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B070D8"/>
    <w:pPr>
      <w:spacing w:before="100" w:beforeAutospacing="1" w:after="100" w:afterAutospacing="1"/>
      <w:jc w:val="both"/>
    </w:pPr>
  </w:style>
  <w:style w:type="paragraph" w:customStyle="1" w:styleId="0000">
    <w:name w:val="0000СТ"/>
    <w:basedOn w:val="Heading2"/>
    <w:uiPriority w:val="99"/>
    <w:rsid w:val="00B070D8"/>
    <w:pPr>
      <w:keepLines w:val="0"/>
      <w:spacing w:before="240" w:after="60"/>
      <w:jc w:val="both"/>
    </w:pPr>
    <w:rPr>
      <w:rFonts w:ascii="Times New Roman Bold" w:eastAsia="Calibri" w:hAnsi="Times New Roman Bold" w:cs="Arial"/>
      <w:iCs/>
      <w:caps/>
      <w:color w:val="auto"/>
      <w:lang w:val="en-US"/>
    </w:rPr>
  </w:style>
  <w:style w:type="paragraph" w:customStyle="1" w:styleId="ListParagraph1">
    <w:name w:val="List Paragraph1"/>
    <w:basedOn w:val="Normal"/>
    <w:link w:val="ListParagraphChar"/>
    <w:uiPriority w:val="34"/>
    <w:qFormat/>
    <w:rsid w:val="00B070D8"/>
    <w:pPr>
      <w:ind w:left="720"/>
      <w:contextualSpacing/>
      <w:jc w:val="both"/>
    </w:pPr>
    <w:rPr>
      <w:rFonts w:ascii="Calibri" w:hAnsi="Calibri"/>
      <w:sz w:val="20"/>
      <w:szCs w:val="20"/>
      <w:lang w:eastAsia="en-US"/>
    </w:rPr>
  </w:style>
  <w:style w:type="character" w:customStyle="1" w:styleId="ListParagraphChar">
    <w:name w:val="List Paragraph Char"/>
    <w:link w:val="ListParagraph1"/>
    <w:uiPriority w:val="34"/>
    <w:locked/>
    <w:rsid w:val="00B070D8"/>
    <w:rPr>
      <w:rFonts w:ascii="Calibri" w:hAnsi="Calibri"/>
      <w:lang w:eastAsia="en-US"/>
    </w:rPr>
  </w:style>
  <w:style w:type="paragraph" w:styleId="TOCHeading">
    <w:name w:val="TOC Heading"/>
    <w:basedOn w:val="Heading1"/>
    <w:next w:val="Normal"/>
    <w:uiPriority w:val="39"/>
    <w:unhideWhenUsed/>
    <w:qFormat/>
    <w:rsid w:val="00B070D8"/>
    <w:pPr>
      <w:spacing w:before="0" w:line="259" w:lineRule="auto"/>
      <w:ind w:left="624"/>
      <w:jc w:val="both"/>
      <w:outlineLvl w:val="9"/>
    </w:pPr>
    <w:rPr>
      <w:rFonts w:ascii="Times New Roman" w:hAnsi="Times New Roman"/>
      <w:bCs w:val="0"/>
      <w:color w:val="auto"/>
      <w:sz w:val="24"/>
      <w:szCs w:val="32"/>
      <w:u w:val="single"/>
      <w:lang w:eastAsia="en-US"/>
    </w:rPr>
  </w:style>
  <w:style w:type="paragraph" w:styleId="TOC1">
    <w:name w:val="toc 1"/>
    <w:basedOn w:val="Normal"/>
    <w:next w:val="Normal"/>
    <w:autoRedefine/>
    <w:uiPriority w:val="39"/>
    <w:unhideWhenUsed/>
    <w:rsid w:val="003E52CC"/>
    <w:pPr>
      <w:tabs>
        <w:tab w:val="right" w:leader="dot" w:pos="9356"/>
      </w:tabs>
      <w:spacing w:after="100" w:line="293" w:lineRule="auto"/>
      <w:jc w:val="both"/>
    </w:pPr>
    <w:rPr>
      <w:rFonts w:eastAsia="Calibri"/>
      <w:b/>
      <w:noProof/>
      <w:szCs w:val="22"/>
      <w:lang w:eastAsia="en-US"/>
    </w:rPr>
  </w:style>
  <w:style w:type="character" w:styleId="Emphasis">
    <w:name w:val="Emphasis"/>
    <w:basedOn w:val="DefaultParagraphFont"/>
    <w:qFormat/>
    <w:rsid w:val="007D5045"/>
    <w:rPr>
      <w:i/>
      <w:iCs/>
    </w:rPr>
  </w:style>
  <w:style w:type="paragraph" w:styleId="CommentSubject">
    <w:name w:val="annotation subject"/>
    <w:basedOn w:val="CommentText"/>
    <w:next w:val="CommentText"/>
    <w:link w:val="CommentSubjectChar"/>
    <w:semiHidden/>
    <w:unhideWhenUsed/>
    <w:rsid w:val="00F970D6"/>
    <w:pPr>
      <w:suppressAutoHyphens w:val="0"/>
    </w:pPr>
    <w:rPr>
      <w:b/>
      <w:bCs/>
      <w:lang w:eastAsia="bg-BG"/>
    </w:rPr>
  </w:style>
  <w:style w:type="character" w:customStyle="1" w:styleId="CommentSubjectChar">
    <w:name w:val="Comment Subject Char"/>
    <w:basedOn w:val="CommentTextChar"/>
    <w:link w:val="CommentSubject"/>
    <w:semiHidden/>
    <w:rsid w:val="00F970D6"/>
    <w:rPr>
      <w:b/>
      <w:bCs/>
      <w:lang w:eastAsia="ar-SA"/>
    </w:rPr>
  </w:style>
  <w:style w:type="character" w:customStyle="1" w:styleId="ListParagraphChar1">
    <w:name w:val="List Paragraph Char1"/>
    <w:aliases w:val="List1 Char,ПАРАГРАФ Char"/>
    <w:link w:val="ListParagraph"/>
    <w:uiPriority w:val="34"/>
    <w:qFormat/>
    <w:locked/>
    <w:rsid w:val="008A2DC5"/>
    <w:rPr>
      <w:rFonts w:ascii="Calibri" w:eastAsia="Calibri" w:hAnsi="Calibri"/>
      <w:sz w:val="22"/>
      <w:szCs w:val="22"/>
      <w:lang w:val="en-US" w:eastAsia="en-US"/>
    </w:rPr>
  </w:style>
  <w:style w:type="paragraph" w:customStyle="1" w:styleId="Default">
    <w:name w:val="Default"/>
    <w:rsid w:val="008A2DC5"/>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0C3E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BC"/>
    <w:rPr>
      <w:sz w:val="24"/>
      <w:szCs w:val="24"/>
    </w:rPr>
  </w:style>
  <w:style w:type="paragraph" w:styleId="Heading1">
    <w:name w:val="heading 1"/>
    <w:basedOn w:val="Normal"/>
    <w:next w:val="Normal"/>
    <w:link w:val="Heading1Char"/>
    <w:uiPriority w:val="9"/>
    <w:qFormat/>
    <w:rsid w:val="00D34620"/>
    <w:pPr>
      <w:keepNext/>
      <w:keepLines/>
      <w:spacing w:before="480"/>
      <w:outlineLvl w:val="0"/>
    </w:pPr>
    <w:rPr>
      <w:rFonts w:ascii="Calibri Light" w:hAnsi="Calibri Light"/>
      <w:b/>
      <w:bCs/>
      <w:color w:val="2E74B5"/>
      <w:sz w:val="28"/>
      <w:szCs w:val="28"/>
      <w:lang w:val="en-US"/>
    </w:rPr>
  </w:style>
  <w:style w:type="paragraph" w:styleId="Heading2">
    <w:name w:val="heading 2"/>
    <w:basedOn w:val="Normal"/>
    <w:next w:val="Normal"/>
    <w:link w:val="Heading2Char"/>
    <w:semiHidden/>
    <w:unhideWhenUsed/>
    <w:qFormat/>
    <w:rsid w:val="00CD2A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paragraph" w:customStyle="1" w:styleId="11">
    <w:name w:val="Заглавие 11"/>
    <w:basedOn w:val="Normal"/>
    <w:next w:val="Normal"/>
    <w:uiPriority w:val="9"/>
    <w:qFormat/>
    <w:rsid w:val="00D34620"/>
    <w:pPr>
      <w:keepNext/>
      <w:keepLines/>
      <w:spacing w:before="480" w:line="276" w:lineRule="auto"/>
      <w:outlineLvl w:val="0"/>
    </w:pPr>
    <w:rPr>
      <w:rFonts w:ascii="Calibri Light" w:hAnsi="Calibri Light"/>
      <w:b/>
      <w:bCs/>
      <w:color w:val="2E74B5"/>
      <w:sz w:val="28"/>
      <w:szCs w:val="28"/>
      <w:lang w:val="en-US" w:eastAsia="en-US"/>
    </w:rPr>
  </w:style>
  <w:style w:type="numbering" w:customStyle="1" w:styleId="1">
    <w:name w:val="Без списък1"/>
    <w:next w:val="NoList"/>
    <w:uiPriority w:val="99"/>
    <w:semiHidden/>
    <w:unhideWhenUsed/>
    <w:rsid w:val="00D34620"/>
  </w:style>
  <w:style w:type="character" w:styleId="CommentReference">
    <w:name w:val="annotation reference"/>
    <w:rsid w:val="00D34620"/>
    <w:rPr>
      <w:sz w:val="16"/>
      <w:szCs w:val="16"/>
    </w:rPr>
  </w:style>
  <w:style w:type="paragraph" w:styleId="CommentText">
    <w:name w:val="annotation text"/>
    <w:basedOn w:val="Normal"/>
    <w:link w:val="CommentTextChar"/>
    <w:rsid w:val="00D34620"/>
    <w:pPr>
      <w:suppressAutoHyphens/>
    </w:pPr>
    <w:rPr>
      <w:sz w:val="20"/>
      <w:szCs w:val="20"/>
      <w:lang w:eastAsia="ar-SA"/>
    </w:rPr>
  </w:style>
  <w:style w:type="character" w:customStyle="1" w:styleId="CommentTextChar">
    <w:name w:val="Comment Text Char"/>
    <w:basedOn w:val="DefaultParagraphFont"/>
    <w:link w:val="CommentText"/>
    <w:rsid w:val="00D34620"/>
    <w:rPr>
      <w:lang w:eastAsia="ar-SA"/>
    </w:rPr>
  </w:style>
  <w:style w:type="character" w:customStyle="1" w:styleId="Heading1Char">
    <w:name w:val="Heading 1 Char"/>
    <w:basedOn w:val="DefaultParagraphFont"/>
    <w:link w:val="Heading1"/>
    <w:uiPriority w:val="9"/>
    <w:rsid w:val="00D34620"/>
    <w:rPr>
      <w:rFonts w:ascii="Calibri Light" w:eastAsia="Times New Roman" w:hAnsi="Calibri Light" w:cs="Times New Roman"/>
      <w:b/>
      <w:bCs/>
      <w:color w:val="2E74B5"/>
      <w:sz w:val="28"/>
      <w:szCs w:val="28"/>
      <w:lang w:val="en-US"/>
    </w:rPr>
  </w:style>
  <w:style w:type="paragraph" w:styleId="ListParagraph">
    <w:name w:val="List Paragraph"/>
    <w:aliases w:val="List1,ПАРАГРАФ"/>
    <w:basedOn w:val="Normal"/>
    <w:link w:val="ListParagraphChar1"/>
    <w:uiPriority w:val="34"/>
    <w:qFormat/>
    <w:rsid w:val="00D34620"/>
    <w:pPr>
      <w:spacing w:after="200" w:line="276" w:lineRule="auto"/>
      <w:ind w:left="720"/>
      <w:contextualSpacing/>
    </w:pPr>
    <w:rPr>
      <w:rFonts w:ascii="Calibri" w:eastAsia="Calibri" w:hAnsi="Calibri"/>
      <w:sz w:val="22"/>
      <w:szCs w:val="22"/>
      <w:lang w:val="en-US" w:eastAsia="en-US"/>
    </w:rPr>
  </w:style>
  <w:style w:type="character" w:customStyle="1" w:styleId="110">
    <w:name w:val="Заглавие 1 Знак1"/>
    <w:basedOn w:val="DefaultParagraphFont"/>
    <w:rsid w:val="00D3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D2A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B070D8"/>
    <w:pPr>
      <w:spacing w:before="100" w:beforeAutospacing="1" w:after="100" w:afterAutospacing="1"/>
      <w:jc w:val="both"/>
    </w:pPr>
  </w:style>
  <w:style w:type="paragraph" w:customStyle="1" w:styleId="0000">
    <w:name w:val="0000СТ"/>
    <w:basedOn w:val="Heading2"/>
    <w:uiPriority w:val="99"/>
    <w:rsid w:val="00B070D8"/>
    <w:pPr>
      <w:keepLines w:val="0"/>
      <w:spacing w:before="240" w:after="60"/>
      <w:jc w:val="both"/>
    </w:pPr>
    <w:rPr>
      <w:rFonts w:ascii="Times New Roman Bold" w:eastAsia="Calibri" w:hAnsi="Times New Roman Bold" w:cs="Arial"/>
      <w:iCs/>
      <w:caps/>
      <w:color w:val="auto"/>
      <w:lang w:val="en-US"/>
    </w:rPr>
  </w:style>
  <w:style w:type="paragraph" w:customStyle="1" w:styleId="ListParagraph1">
    <w:name w:val="List Paragraph1"/>
    <w:basedOn w:val="Normal"/>
    <w:link w:val="ListParagraphChar"/>
    <w:uiPriority w:val="34"/>
    <w:qFormat/>
    <w:rsid w:val="00B070D8"/>
    <w:pPr>
      <w:ind w:left="720"/>
      <w:contextualSpacing/>
      <w:jc w:val="both"/>
    </w:pPr>
    <w:rPr>
      <w:rFonts w:ascii="Calibri" w:hAnsi="Calibri"/>
      <w:sz w:val="20"/>
      <w:szCs w:val="20"/>
      <w:lang w:eastAsia="en-US"/>
    </w:rPr>
  </w:style>
  <w:style w:type="character" w:customStyle="1" w:styleId="ListParagraphChar">
    <w:name w:val="List Paragraph Char"/>
    <w:link w:val="ListParagraph1"/>
    <w:uiPriority w:val="34"/>
    <w:locked/>
    <w:rsid w:val="00B070D8"/>
    <w:rPr>
      <w:rFonts w:ascii="Calibri" w:hAnsi="Calibri"/>
      <w:lang w:eastAsia="en-US"/>
    </w:rPr>
  </w:style>
  <w:style w:type="paragraph" w:styleId="TOCHeading">
    <w:name w:val="TOC Heading"/>
    <w:basedOn w:val="Heading1"/>
    <w:next w:val="Normal"/>
    <w:uiPriority w:val="39"/>
    <w:unhideWhenUsed/>
    <w:qFormat/>
    <w:rsid w:val="00B070D8"/>
    <w:pPr>
      <w:spacing w:before="0" w:line="259" w:lineRule="auto"/>
      <w:ind w:left="624"/>
      <w:jc w:val="both"/>
      <w:outlineLvl w:val="9"/>
    </w:pPr>
    <w:rPr>
      <w:rFonts w:ascii="Times New Roman" w:hAnsi="Times New Roman"/>
      <w:bCs w:val="0"/>
      <w:color w:val="auto"/>
      <w:sz w:val="24"/>
      <w:szCs w:val="32"/>
      <w:u w:val="single"/>
      <w:lang w:eastAsia="en-US"/>
    </w:rPr>
  </w:style>
  <w:style w:type="paragraph" w:styleId="TOC1">
    <w:name w:val="toc 1"/>
    <w:basedOn w:val="Normal"/>
    <w:next w:val="Normal"/>
    <w:autoRedefine/>
    <w:uiPriority w:val="39"/>
    <w:unhideWhenUsed/>
    <w:rsid w:val="003E52CC"/>
    <w:pPr>
      <w:tabs>
        <w:tab w:val="right" w:leader="dot" w:pos="9356"/>
      </w:tabs>
      <w:spacing w:after="100" w:line="293" w:lineRule="auto"/>
      <w:jc w:val="both"/>
    </w:pPr>
    <w:rPr>
      <w:rFonts w:eastAsia="Calibri"/>
      <w:b/>
      <w:noProof/>
      <w:szCs w:val="22"/>
      <w:lang w:eastAsia="en-US"/>
    </w:rPr>
  </w:style>
  <w:style w:type="character" w:styleId="Emphasis">
    <w:name w:val="Emphasis"/>
    <w:basedOn w:val="DefaultParagraphFont"/>
    <w:qFormat/>
    <w:rsid w:val="007D5045"/>
    <w:rPr>
      <w:i/>
      <w:iCs/>
    </w:rPr>
  </w:style>
  <w:style w:type="paragraph" w:styleId="CommentSubject">
    <w:name w:val="annotation subject"/>
    <w:basedOn w:val="CommentText"/>
    <w:next w:val="CommentText"/>
    <w:link w:val="CommentSubjectChar"/>
    <w:semiHidden/>
    <w:unhideWhenUsed/>
    <w:rsid w:val="00F970D6"/>
    <w:pPr>
      <w:suppressAutoHyphens w:val="0"/>
    </w:pPr>
    <w:rPr>
      <w:b/>
      <w:bCs/>
      <w:lang w:eastAsia="bg-BG"/>
    </w:rPr>
  </w:style>
  <w:style w:type="character" w:customStyle="1" w:styleId="CommentSubjectChar">
    <w:name w:val="Comment Subject Char"/>
    <w:basedOn w:val="CommentTextChar"/>
    <w:link w:val="CommentSubject"/>
    <w:semiHidden/>
    <w:rsid w:val="00F970D6"/>
    <w:rPr>
      <w:b/>
      <w:bCs/>
      <w:lang w:eastAsia="ar-SA"/>
    </w:rPr>
  </w:style>
  <w:style w:type="character" w:customStyle="1" w:styleId="ListParagraphChar1">
    <w:name w:val="List Paragraph Char1"/>
    <w:aliases w:val="List1 Char,ПАРАГРАФ Char"/>
    <w:link w:val="ListParagraph"/>
    <w:uiPriority w:val="34"/>
    <w:qFormat/>
    <w:locked/>
    <w:rsid w:val="008A2DC5"/>
    <w:rPr>
      <w:rFonts w:ascii="Calibri" w:eastAsia="Calibri" w:hAnsi="Calibri"/>
      <w:sz w:val="22"/>
      <w:szCs w:val="22"/>
      <w:lang w:val="en-US" w:eastAsia="en-US"/>
    </w:rPr>
  </w:style>
  <w:style w:type="paragraph" w:customStyle="1" w:styleId="Default">
    <w:name w:val="Default"/>
    <w:rsid w:val="008A2DC5"/>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0C3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omt.bas.bg/&#1087;&#1088;&#1086;&#1092;&#1080;&#1083;-&#1085;&#1072;-&#1082;&#1091;&#1087;&#1091;&#1074;&#1072;&#1095;&#107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imc.bas.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omt.bas.bg/&#1087;&#1088;&#1086;&#1092;&#1080;&#1083;-&#1085;&#1072;-&#1082;&#1091;&#1087;&#1091;&#1074;&#1072;&#1095;&#1072;"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cryst@clmc.bas.bg" TargetMode="External"/><Relationship Id="rId5" Type="http://schemas.openxmlformats.org/officeDocument/2006/relationships/settings" Target="settings.xml"/><Relationship Id="rId15" Type="http://schemas.openxmlformats.org/officeDocument/2006/relationships/hyperlink" Target="http://eur-lex.europa.eu/legal-content/BG/TXT/?uri=CELEX%3A32016R0007" TargetMode="External"/><Relationship Id="rId10" Type="http://schemas.openxmlformats.org/officeDocument/2006/relationships/hyperlink" Target="tel:+3592872007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tel:+35928720073" TargetMode="External"/><Relationship Id="rId14" Type="http://schemas.openxmlformats.org/officeDocument/2006/relationships/hyperlink" Target="http://www.iomt.bas.bg/&#1087;&#1088;&#1086;&#1092;&#1080;&#1083;-&#1085;&#1072;-&#1082;&#1091;&#1087;&#1091;&#1074;&#1072;&#1095;&#107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1410-C9BF-4D39-A6CD-33532AD7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23</Pages>
  <Words>8443</Words>
  <Characters>48131</Characters>
  <Application>Microsoft Office Word</Application>
  <DocSecurity>0</DocSecurity>
  <Lines>401</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56462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Babeva</cp:lastModifiedBy>
  <cp:revision>19</cp:revision>
  <cp:lastPrinted>2019-12-27T09:16:00Z</cp:lastPrinted>
  <dcterms:created xsi:type="dcterms:W3CDTF">2019-12-16T12:16:00Z</dcterms:created>
  <dcterms:modified xsi:type="dcterms:W3CDTF">2019-12-27T13:56:00Z</dcterms:modified>
</cp:coreProperties>
</file>